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0" w:lineRule="auto"/>
        <w:jc w:val="center"/>
        <w:rPr>
          <w:rFonts w:ascii="Milonga" w:cs="Milonga" w:eastAsia="Milonga" w:hAnsi="Milonga"/>
          <w:color w:val="222222"/>
          <w:sz w:val="48"/>
          <w:szCs w:val="48"/>
        </w:rPr>
      </w:pPr>
      <w:r w:rsidDel="00000000" w:rsidR="00000000" w:rsidRPr="00000000">
        <w:rPr>
          <w:rtl w:val="0"/>
        </w:rPr>
      </w:r>
    </w:p>
    <w:p w:rsidR="00000000" w:rsidDel="00000000" w:rsidP="00000000" w:rsidRDefault="00000000" w:rsidRPr="00000000" w14:paraId="00000002">
      <w:pPr>
        <w:shd w:fill="ffffff" w:val="clear"/>
        <w:spacing w:after="0" w:lineRule="auto"/>
        <w:jc w:val="center"/>
        <w:rPr>
          <w:rFonts w:ascii="Milonga" w:cs="Milonga" w:eastAsia="Milonga" w:hAnsi="Milonga"/>
          <w:color w:val="222222"/>
          <w:sz w:val="48"/>
          <w:szCs w:val="48"/>
        </w:rPr>
      </w:pPr>
      <w:r w:rsidDel="00000000" w:rsidR="00000000" w:rsidRPr="00000000">
        <w:rPr>
          <w:rtl w:val="0"/>
        </w:rPr>
      </w:r>
    </w:p>
    <w:p w:rsidR="00000000" w:rsidDel="00000000" w:rsidP="00000000" w:rsidRDefault="00000000" w:rsidRPr="00000000" w14:paraId="00000003">
      <w:pPr>
        <w:shd w:fill="ffffff" w:val="clear"/>
        <w:spacing w:after="0" w:lineRule="auto"/>
        <w:jc w:val="center"/>
        <w:rPr>
          <w:rFonts w:ascii="Milonga" w:cs="Milonga" w:eastAsia="Milonga" w:hAnsi="Milonga"/>
          <w:color w:val="222222"/>
          <w:sz w:val="48"/>
          <w:szCs w:val="4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447675</wp:posOffset>
            </wp:positionH>
            <wp:positionV relativeFrom="paragraph">
              <wp:posOffset>0</wp:posOffset>
            </wp:positionV>
            <wp:extent cx="5309235" cy="309245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309235" cy="3092450"/>
                    </a:xfrm>
                    <a:prstGeom prst="rect"/>
                    <a:ln/>
                  </pic:spPr>
                </pic:pic>
              </a:graphicData>
            </a:graphic>
          </wp:anchor>
        </w:drawing>
      </w:r>
    </w:p>
    <w:p w:rsidR="00000000" w:rsidDel="00000000" w:rsidP="00000000" w:rsidRDefault="00000000" w:rsidRPr="00000000" w14:paraId="00000004">
      <w:pPr>
        <w:shd w:fill="ffffff" w:val="clear"/>
        <w:spacing w:after="0" w:lineRule="auto"/>
        <w:jc w:val="center"/>
        <w:rPr>
          <w:rFonts w:ascii="Milonga" w:cs="Milonga" w:eastAsia="Milonga" w:hAnsi="Milonga"/>
          <w:color w:val="222222"/>
          <w:sz w:val="48"/>
          <w:szCs w:val="48"/>
        </w:rPr>
      </w:pPr>
      <w:r w:rsidDel="00000000" w:rsidR="00000000" w:rsidRPr="00000000">
        <w:rPr>
          <w:rtl w:val="0"/>
        </w:rPr>
      </w:r>
    </w:p>
    <w:p w:rsidR="00000000" w:rsidDel="00000000" w:rsidP="00000000" w:rsidRDefault="00000000" w:rsidRPr="00000000" w14:paraId="00000005">
      <w:pPr>
        <w:shd w:fill="ffffff" w:val="clear"/>
        <w:spacing w:after="0" w:lineRule="auto"/>
        <w:jc w:val="center"/>
        <w:rPr>
          <w:rFonts w:ascii="Milonga" w:cs="Milonga" w:eastAsia="Milonga" w:hAnsi="Milonga"/>
          <w:color w:val="222222"/>
          <w:sz w:val="48"/>
          <w:szCs w:val="48"/>
        </w:rPr>
      </w:pPr>
      <w:r w:rsidDel="00000000" w:rsidR="00000000" w:rsidRPr="00000000">
        <w:rPr>
          <w:rtl w:val="0"/>
        </w:rPr>
      </w:r>
    </w:p>
    <w:p w:rsidR="00000000" w:rsidDel="00000000" w:rsidP="00000000" w:rsidRDefault="00000000" w:rsidRPr="00000000" w14:paraId="00000006">
      <w:pPr>
        <w:shd w:fill="ffffff" w:val="clear"/>
        <w:spacing w:after="0" w:lineRule="auto"/>
        <w:jc w:val="center"/>
        <w:rPr>
          <w:rFonts w:ascii="Milonga" w:cs="Milonga" w:eastAsia="Milonga" w:hAnsi="Milonga"/>
          <w:color w:val="222222"/>
          <w:sz w:val="48"/>
          <w:szCs w:val="48"/>
        </w:rPr>
      </w:pPr>
      <w:r w:rsidDel="00000000" w:rsidR="00000000" w:rsidRPr="00000000">
        <w:rPr>
          <w:rtl w:val="0"/>
        </w:rPr>
      </w:r>
    </w:p>
    <w:p w:rsidR="00000000" w:rsidDel="00000000" w:rsidP="00000000" w:rsidRDefault="00000000" w:rsidRPr="00000000" w14:paraId="00000007">
      <w:pPr>
        <w:shd w:fill="ffffff" w:val="clear"/>
        <w:spacing w:after="0" w:lineRule="auto"/>
        <w:jc w:val="center"/>
        <w:rPr>
          <w:rFonts w:ascii="Milonga" w:cs="Milonga" w:eastAsia="Milonga" w:hAnsi="Milonga"/>
          <w:color w:val="222222"/>
          <w:sz w:val="48"/>
          <w:szCs w:val="48"/>
        </w:rPr>
      </w:pPr>
      <w:r w:rsidDel="00000000" w:rsidR="00000000" w:rsidRPr="00000000">
        <w:rPr>
          <w:rtl w:val="0"/>
        </w:rPr>
      </w:r>
    </w:p>
    <w:p w:rsidR="00000000" w:rsidDel="00000000" w:rsidP="00000000" w:rsidRDefault="00000000" w:rsidRPr="00000000" w14:paraId="00000008">
      <w:pPr>
        <w:shd w:fill="ffffff" w:val="clear"/>
        <w:spacing w:after="0" w:lineRule="auto"/>
        <w:jc w:val="center"/>
        <w:rPr>
          <w:rFonts w:ascii="Milonga" w:cs="Milonga" w:eastAsia="Milonga" w:hAnsi="Milonga"/>
          <w:color w:val="222222"/>
          <w:sz w:val="48"/>
          <w:szCs w:val="48"/>
        </w:rPr>
      </w:pPr>
      <w:r w:rsidDel="00000000" w:rsidR="00000000" w:rsidRPr="00000000">
        <w:rPr>
          <w:rtl w:val="0"/>
        </w:rPr>
      </w:r>
    </w:p>
    <w:p w:rsidR="00000000" w:rsidDel="00000000" w:rsidP="00000000" w:rsidRDefault="00000000" w:rsidRPr="00000000" w14:paraId="00000009">
      <w:pPr>
        <w:shd w:fill="ffffff" w:val="clear"/>
        <w:spacing w:after="0" w:lineRule="auto"/>
        <w:jc w:val="center"/>
        <w:rPr>
          <w:rFonts w:ascii="Milonga" w:cs="Milonga" w:eastAsia="Milonga" w:hAnsi="Milonga"/>
          <w:color w:val="222222"/>
          <w:sz w:val="48"/>
          <w:szCs w:val="48"/>
        </w:rPr>
      </w:pPr>
      <w:r w:rsidDel="00000000" w:rsidR="00000000" w:rsidRPr="00000000">
        <w:rPr>
          <w:rtl w:val="0"/>
        </w:rPr>
      </w:r>
    </w:p>
    <w:p w:rsidR="00000000" w:rsidDel="00000000" w:rsidP="00000000" w:rsidRDefault="00000000" w:rsidRPr="00000000" w14:paraId="0000000A">
      <w:pPr>
        <w:shd w:fill="ffffff" w:val="clear"/>
        <w:spacing w:after="0" w:lineRule="auto"/>
        <w:jc w:val="center"/>
        <w:rPr>
          <w:rFonts w:ascii="Milonga" w:cs="Milonga" w:eastAsia="Milonga" w:hAnsi="Milonga"/>
          <w:color w:val="222222"/>
          <w:sz w:val="48"/>
          <w:szCs w:val="48"/>
        </w:rPr>
      </w:pPr>
      <w:r w:rsidDel="00000000" w:rsidR="00000000" w:rsidRPr="00000000">
        <w:rPr>
          <w:rtl w:val="0"/>
        </w:rPr>
      </w:r>
    </w:p>
    <w:p w:rsidR="00000000" w:rsidDel="00000000" w:rsidP="00000000" w:rsidRDefault="00000000" w:rsidRPr="00000000" w14:paraId="0000000B">
      <w:pPr>
        <w:shd w:fill="ffffff" w:val="clear"/>
        <w:spacing w:after="0" w:lineRule="auto"/>
        <w:jc w:val="center"/>
        <w:rPr>
          <w:rFonts w:ascii="Milonga" w:cs="Milonga" w:eastAsia="Milonga" w:hAnsi="Milonga"/>
          <w:b w:val="1"/>
          <w:i w:val="1"/>
          <w:color w:val="222222"/>
          <w:sz w:val="44"/>
          <w:szCs w:val="44"/>
        </w:rPr>
      </w:pPr>
      <w:r w:rsidDel="00000000" w:rsidR="00000000" w:rsidRPr="00000000">
        <w:rPr>
          <w:rFonts w:ascii="Milonga" w:cs="Milonga" w:eastAsia="Milonga" w:hAnsi="Milonga"/>
          <w:b w:val="1"/>
          <w:i w:val="1"/>
          <w:color w:val="222222"/>
          <w:sz w:val="44"/>
          <w:szCs w:val="44"/>
          <w:rtl w:val="0"/>
        </w:rPr>
        <w:t xml:space="preserve">The Maiya Project</w:t>
      </w:r>
    </w:p>
    <w:p w:rsidR="00000000" w:rsidDel="00000000" w:rsidP="00000000" w:rsidRDefault="00000000" w:rsidRPr="00000000" w14:paraId="0000000C">
      <w:pPr>
        <w:shd w:fill="ffffff" w:val="clear"/>
        <w:spacing w:after="0" w:lineRule="auto"/>
        <w:jc w:val="center"/>
        <w:rPr>
          <w:rFonts w:ascii="Milonga" w:cs="Milonga" w:eastAsia="Milonga" w:hAnsi="Milonga"/>
          <w:color w:val="222222"/>
          <w:sz w:val="36"/>
          <w:szCs w:val="36"/>
        </w:rPr>
      </w:pPr>
      <w:r w:rsidDel="00000000" w:rsidR="00000000" w:rsidRPr="00000000">
        <w:rPr>
          <w:rtl w:val="0"/>
        </w:rPr>
      </w:r>
    </w:p>
    <w:p w:rsidR="00000000" w:rsidDel="00000000" w:rsidP="00000000" w:rsidRDefault="00000000" w:rsidRPr="00000000" w14:paraId="0000000D">
      <w:pPr>
        <w:shd w:fill="ffffff" w:val="clear"/>
        <w:spacing w:after="0" w:lineRule="auto"/>
        <w:jc w:val="center"/>
        <w:rPr>
          <w:rFonts w:ascii="Milonga" w:cs="Milonga" w:eastAsia="Milonga" w:hAnsi="Milonga"/>
          <w:color w:val="222222"/>
          <w:sz w:val="36"/>
          <w:szCs w:val="36"/>
        </w:rPr>
      </w:pPr>
      <w:r w:rsidDel="00000000" w:rsidR="00000000" w:rsidRPr="00000000">
        <w:rPr>
          <w:rFonts w:ascii="Milonga" w:cs="Milonga" w:eastAsia="Milonga" w:hAnsi="Milonga"/>
          <w:color w:val="222222"/>
          <w:sz w:val="36"/>
          <w:szCs w:val="36"/>
          <w:rtl w:val="0"/>
        </w:rPr>
        <w:t xml:space="preserve">Conceived by Jenn Friedman</w:t>
      </w:r>
    </w:p>
    <w:p w:rsidR="00000000" w:rsidDel="00000000" w:rsidP="00000000" w:rsidRDefault="00000000" w:rsidRPr="00000000" w14:paraId="0000000E">
      <w:pPr>
        <w:shd w:fill="ffffff" w:val="clear"/>
        <w:spacing w:after="0" w:lineRule="auto"/>
        <w:jc w:val="center"/>
        <w:rPr>
          <w:rFonts w:ascii="Milonga" w:cs="Milonga" w:eastAsia="Milonga" w:hAnsi="Milonga"/>
          <w:color w:val="222222"/>
          <w:sz w:val="36"/>
          <w:szCs w:val="36"/>
        </w:rPr>
      </w:pPr>
      <w:r w:rsidDel="00000000" w:rsidR="00000000" w:rsidRPr="00000000">
        <w:rPr>
          <w:rtl w:val="0"/>
        </w:rPr>
      </w:r>
    </w:p>
    <w:p w:rsidR="00000000" w:rsidDel="00000000" w:rsidP="00000000" w:rsidRDefault="00000000" w:rsidRPr="00000000" w14:paraId="0000000F">
      <w:pPr>
        <w:shd w:fill="ffffff" w:val="clear"/>
        <w:spacing w:after="0" w:lineRule="auto"/>
        <w:jc w:val="center"/>
        <w:rPr>
          <w:rFonts w:ascii="Milonga" w:cs="Milonga" w:eastAsia="Milonga" w:hAnsi="Milonga"/>
          <w:color w:val="222222"/>
          <w:sz w:val="36"/>
          <w:szCs w:val="36"/>
        </w:rPr>
      </w:pPr>
      <w:r w:rsidDel="00000000" w:rsidR="00000000" w:rsidRPr="00000000">
        <w:rPr>
          <w:rFonts w:ascii="Milonga" w:cs="Milonga" w:eastAsia="Milonga" w:hAnsi="Milonga"/>
          <w:color w:val="222222"/>
          <w:sz w:val="36"/>
          <w:szCs w:val="36"/>
          <w:rtl w:val="0"/>
        </w:rPr>
        <w:t xml:space="preserve">Directed and Choreographed by Renée Locher</w:t>
      </w:r>
    </w:p>
    <w:p w:rsidR="00000000" w:rsidDel="00000000" w:rsidP="00000000" w:rsidRDefault="00000000" w:rsidRPr="00000000" w14:paraId="00000010">
      <w:pPr>
        <w:shd w:fill="ffffff" w:val="clear"/>
        <w:spacing w:after="0" w:lineRule="auto"/>
        <w:jc w:val="center"/>
        <w:rPr>
          <w:rFonts w:ascii="Milonga" w:cs="Milonga" w:eastAsia="Milonga" w:hAnsi="Milonga"/>
          <w:color w:val="222222"/>
          <w:sz w:val="36"/>
          <w:szCs w:val="36"/>
        </w:rPr>
      </w:pPr>
      <w:r w:rsidDel="00000000" w:rsidR="00000000" w:rsidRPr="00000000">
        <w:rPr>
          <w:rtl w:val="0"/>
        </w:rPr>
      </w:r>
    </w:p>
    <w:p w:rsidR="00000000" w:rsidDel="00000000" w:rsidP="00000000" w:rsidRDefault="00000000" w:rsidRPr="00000000" w14:paraId="00000011">
      <w:pPr>
        <w:shd w:fill="ffffff" w:val="clear"/>
        <w:spacing w:after="0" w:lineRule="auto"/>
        <w:jc w:val="center"/>
        <w:rPr>
          <w:rFonts w:ascii="Milonga" w:cs="Milonga" w:eastAsia="Milonga" w:hAnsi="Milonga"/>
          <w:color w:val="222222"/>
          <w:sz w:val="36"/>
          <w:szCs w:val="36"/>
        </w:rPr>
      </w:pPr>
      <w:r w:rsidDel="00000000" w:rsidR="00000000" w:rsidRPr="00000000">
        <w:rPr>
          <w:rFonts w:ascii="Milonga" w:cs="Milonga" w:eastAsia="Milonga" w:hAnsi="Milonga"/>
          <w:color w:val="222222"/>
          <w:sz w:val="36"/>
          <w:szCs w:val="36"/>
          <w:rtl w:val="0"/>
        </w:rPr>
        <w:t xml:space="preserve">Featuring: Jennifer Converse, Anna Vlasova</w:t>
        <w:br w:type="textWrapping"/>
        <w:t xml:space="preserve">and Katie Kilbourn</w:t>
      </w:r>
    </w:p>
    <w:p w:rsidR="00000000" w:rsidDel="00000000" w:rsidP="00000000" w:rsidRDefault="00000000" w:rsidRPr="00000000" w14:paraId="00000012">
      <w:pPr>
        <w:shd w:fill="ffffff" w:val="clear"/>
        <w:spacing w:after="0" w:lineRule="auto"/>
        <w:jc w:val="center"/>
        <w:rPr>
          <w:rFonts w:ascii="Milonga" w:cs="Milonga" w:eastAsia="Milonga" w:hAnsi="Milonga"/>
          <w:color w:val="222222"/>
          <w:sz w:val="32"/>
          <w:szCs w:val="32"/>
        </w:rPr>
      </w:pPr>
      <w:r w:rsidDel="00000000" w:rsidR="00000000" w:rsidRPr="00000000">
        <w:rPr>
          <w:rtl w:val="0"/>
        </w:rPr>
      </w:r>
    </w:p>
    <w:p w:rsidR="00000000" w:rsidDel="00000000" w:rsidP="00000000" w:rsidRDefault="00000000" w:rsidRPr="00000000" w14:paraId="00000013">
      <w:pPr>
        <w:shd w:fill="ffffff" w:val="clear"/>
        <w:spacing w:after="0" w:lineRule="auto"/>
        <w:jc w:val="center"/>
        <w:rPr>
          <w:rFonts w:ascii="Milonga" w:cs="Milonga" w:eastAsia="Milonga" w:hAnsi="Milonga"/>
          <w:i w:val="1"/>
          <w:color w:val="222222"/>
          <w:sz w:val="24"/>
          <w:szCs w:val="24"/>
        </w:rPr>
      </w:pPr>
      <w:r w:rsidDel="00000000" w:rsidR="00000000" w:rsidRPr="00000000">
        <w:rPr>
          <w:rFonts w:ascii="Milonga" w:cs="Milonga" w:eastAsia="Milonga" w:hAnsi="Milonga"/>
          <w:i w:val="1"/>
          <w:color w:val="222222"/>
          <w:sz w:val="24"/>
          <w:szCs w:val="24"/>
          <w:rtl w:val="0"/>
        </w:rPr>
        <w:t xml:space="preserve">Produced in collaboration with Robyn Hussa Farrell</w:t>
      </w:r>
    </w:p>
    <w:p w:rsidR="00000000" w:rsidDel="00000000" w:rsidP="00000000" w:rsidRDefault="00000000" w:rsidRPr="00000000" w14:paraId="00000014">
      <w:pPr>
        <w:shd w:fill="ffffff" w:val="clear"/>
        <w:spacing w:after="0" w:lineRule="auto"/>
        <w:jc w:val="center"/>
        <w:rPr>
          <w:rFonts w:ascii="Milonga" w:cs="Milonga" w:eastAsia="Milonga" w:hAnsi="Milonga"/>
          <w:i w:val="1"/>
          <w:color w:val="222222"/>
          <w:sz w:val="40"/>
          <w:szCs w:val="40"/>
        </w:rPr>
      </w:pPr>
      <w:r w:rsidDel="00000000" w:rsidR="00000000" w:rsidRPr="00000000">
        <w:rPr>
          <w:rFonts w:ascii="Milonga" w:cs="Milonga" w:eastAsia="Milonga" w:hAnsi="Milonga"/>
          <w:i w:val="1"/>
          <w:color w:val="222222"/>
          <w:sz w:val="40"/>
          <w:szCs w:val="40"/>
          <w:rtl w:val="0"/>
        </w:rPr>
        <w:t xml:space="preserve">The Maiya Project</w:t>
      </w:r>
    </w:p>
    <w:p w:rsidR="00000000" w:rsidDel="00000000" w:rsidP="00000000" w:rsidRDefault="00000000" w:rsidRPr="00000000" w14:paraId="00000015">
      <w:pPr>
        <w:shd w:fill="ffffff" w:val="clear"/>
        <w:spacing w:after="0" w:lineRule="auto"/>
        <w:rPr>
          <w:rFonts w:ascii="Milonga" w:cs="Milonga" w:eastAsia="Milonga" w:hAnsi="Milonga"/>
          <w:color w:val="222222"/>
          <w:sz w:val="20"/>
          <w:szCs w:val="20"/>
        </w:rPr>
      </w:pPr>
      <w:r w:rsidDel="00000000" w:rsidR="00000000" w:rsidRPr="00000000">
        <w:rPr>
          <w:rtl w:val="0"/>
        </w:rPr>
      </w:r>
    </w:p>
    <w:p w:rsidR="00000000" w:rsidDel="00000000" w:rsidP="00000000" w:rsidRDefault="00000000" w:rsidRPr="00000000" w14:paraId="00000016">
      <w:pPr>
        <w:shd w:fill="ffffff" w:val="clear"/>
        <w:spacing w:after="0" w:lineRule="auto"/>
        <w:jc w:val="both"/>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i w:val="1"/>
          <w:color w:val="222222"/>
          <w:sz w:val="24"/>
          <w:szCs w:val="24"/>
          <w:rtl w:val="0"/>
        </w:rPr>
        <w:t xml:space="preserve">The Maiya Project</w:t>
      </w:r>
      <w:r w:rsidDel="00000000" w:rsidR="00000000" w:rsidRPr="00000000">
        <w:rPr>
          <w:rFonts w:ascii="Century Gothic" w:cs="Century Gothic" w:eastAsia="Century Gothic" w:hAnsi="Century Gothic"/>
          <w:color w:val="222222"/>
          <w:sz w:val="24"/>
          <w:szCs w:val="24"/>
          <w:rtl w:val="0"/>
        </w:rPr>
        <w:t xml:space="preserve">, Co-Produced by Jenn Friedman and Mental Fitness, Inc., is a short dance and music film highlighting the internal eating disorder conflict. It is based on Jenn Friedman's song, "Maiya," - which is about the recovery of a personal friend, Maiya - as well as Jenn's own recovery, and is brilliantly choreographed by Renée Locher.</w:t>
      </w:r>
    </w:p>
    <w:p w:rsidR="00000000" w:rsidDel="00000000" w:rsidP="00000000" w:rsidRDefault="00000000" w:rsidRPr="00000000" w14:paraId="00000017">
      <w:pPr>
        <w:shd w:fill="ffffff" w:val="clear"/>
        <w:spacing w:after="280" w:before="280" w:lineRule="auto"/>
        <w:jc w:val="both"/>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color w:val="222222"/>
          <w:sz w:val="24"/>
          <w:szCs w:val="24"/>
          <w:rtl w:val="0"/>
        </w:rPr>
        <w:t xml:space="preserve">The film follows three dancers through the woods - Maiya's representation, the eating disorder voice, and the recovery voice - with Maiya herself making select appearances throughout in a variety of mediums. The three characters make their way through the woods via an excruciatingly choreographed contemporary movement struggle. We see Maiya's progression from captivity inside the eating disorder voice toward the alignment with the recovery voice. We watch as her autonomy gradually and courageously takes hold. </w:t>
      </w:r>
    </w:p>
    <w:p w:rsidR="00000000" w:rsidDel="00000000" w:rsidP="00000000" w:rsidRDefault="00000000" w:rsidRPr="00000000" w14:paraId="00000018">
      <w:pPr>
        <w:shd w:fill="ffffff" w:val="clear"/>
        <w:spacing w:after="280" w:before="280" w:lineRule="auto"/>
        <w:jc w:val="both"/>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4"/>
          <w:szCs w:val="24"/>
          <w:rtl w:val="0"/>
        </w:rPr>
        <w:t xml:space="preserve">As Maiya's character evolves from containment to freedom, we are reminded of the power within ourselves to find our own personal freedom; we note a parallel between the very physical struggle on the screen and the often invisible struggle inside ourselves. While we equate the entanglement of the woods with our own confusion, chaos, and internment, we also equate the freedom and purity of nature with our own unbound potential.</w:t>
      </w:r>
      <w:r w:rsidDel="00000000" w:rsidR="00000000" w:rsidRPr="00000000">
        <w:rPr>
          <w:rtl w:val="0"/>
        </w:rPr>
      </w:r>
    </w:p>
    <w:p w:rsidR="00000000" w:rsidDel="00000000" w:rsidP="00000000" w:rsidRDefault="00000000" w:rsidRPr="00000000" w14:paraId="00000019">
      <w:pPr>
        <w:shd w:fill="ffffff" w:val="clear"/>
        <w:spacing w:after="280" w:before="280" w:lineRule="auto"/>
        <w:rPr>
          <w:rFonts w:ascii="Milonga" w:cs="Milonga" w:eastAsia="Milonga" w:hAnsi="Milonga"/>
          <w:color w:val="222222"/>
        </w:rPr>
      </w:pPr>
      <w:r w:rsidDel="00000000" w:rsidR="00000000" w:rsidRPr="00000000">
        <w:rPr>
          <w:rFonts w:ascii="Milonga" w:cs="Milonga" w:eastAsia="Milonga" w:hAnsi="Milonga"/>
          <w:b w:val="1"/>
          <w:color w:val="222222"/>
          <w:sz w:val="28"/>
          <w:szCs w:val="28"/>
          <w:rtl w:val="0"/>
        </w:rPr>
        <w:t xml:space="preserve">Biographies</w:t>
      </w:r>
      <w:r w:rsidDel="00000000" w:rsidR="00000000" w:rsidRPr="00000000">
        <w:rPr>
          <w:rtl w:val="0"/>
        </w:rPr>
      </w:r>
    </w:p>
    <w:p w:rsidR="00000000" w:rsidDel="00000000" w:rsidP="00000000" w:rsidRDefault="00000000" w:rsidRPr="00000000" w14:paraId="0000001A">
      <w:pPr>
        <w:shd w:fill="ffffff" w:val="clear"/>
        <w:spacing w:after="280" w:before="280" w:lineRule="auto"/>
        <w:jc w:val="both"/>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color w:val="222222"/>
          <w:sz w:val="24"/>
          <w:szCs w:val="24"/>
          <w:rtl w:val="0"/>
        </w:rPr>
        <w:t xml:space="preserve">Jenn Friedman is a musician (singer/songwriter/piano-player), author and eating disorder recovery advocate. Her book, Eating Disorders on the Wire: Music and Metaphor as Pathways to Recovery (H.T.F.K. Press), explores her eating disorder recovery through metaphor. Each chapter has a corresponding song on the album, "On the Wire" (Personal Bias Records). Jenn has lectured and performed at Monte Nido EDTNY, Insight Behavioral Health, New York State Psychiatric Institute, The Emily Program, SUNY Purchase, the Eating Disorder Coalition's "Mothers and Others March Against Eating Disorders" on Capitol Hill, and the Philadelphia NEDA Walk. </w:t>
      </w:r>
      <w:r w:rsidDel="00000000" w:rsidR="00000000" w:rsidRPr="00000000">
        <w:rPr>
          <w:rFonts w:ascii="Century Gothic" w:cs="Century Gothic" w:eastAsia="Century Gothic" w:hAnsi="Century Gothic"/>
          <w:color w:val="222222"/>
          <w:sz w:val="24"/>
          <w:szCs w:val="24"/>
          <w:highlight w:val="white"/>
          <w:rtl w:val="0"/>
        </w:rPr>
        <w:t xml:space="preserve">She graduated from SUNY Purchase with a BA in Liberal Arts and Music, The New School with a Certificate in Creative Arts Therapy, and Goldsmiths University of London with a Masters in Counseling.</w:t>
      </w:r>
      <w:r w:rsidDel="00000000" w:rsidR="00000000" w:rsidRPr="00000000">
        <w:rPr>
          <w:rFonts w:ascii="Century Gothic" w:cs="Century Gothic" w:eastAsia="Century Gothic" w:hAnsi="Century Gothic"/>
          <w:color w:val="222222"/>
          <w:sz w:val="24"/>
          <w:szCs w:val="24"/>
          <w:rtl w:val="0"/>
        </w:rPr>
        <w:t xml:space="preserve"> She is passionate about fostering hope, healing, and connection through speaking and performing.  www.jennfriedman.com</w:t>
      </w:r>
    </w:p>
    <w:p w:rsidR="00000000" w:rsidDel="00000000" w:rsidP="00000000" w:rsidRDefault="00000000" w:rsidRPr="00000000" w14:paraId="0000001B">
      <w:pPr>
        <w:shd w:fill="ffffff" w:val="clear"/>
        <w:spacing w:after="280" w:before="280" w:lineRule="auto"/>
        <w:jc w:val="both"/>
        <w:rPr>
          <w:rFonts w:ascii="Century Gothic" w:cs="Century Gothic" w:eastAsia="Century Gothic" w:hAnsi="Century Gothic"/>
          <w:b w:val="1"/>
          <w:color w:val="222222"/>
          <w:sz w:val="28"/>
          <w:szCs w:val="28"/>
        </w:rPr>
      </w:pPr>
      <w:r w:rsidDel="00000000" w:rsidR="00000000" w:rsidRPr="00000000">
        <w:rPr>
          <w:rFonts w:ascii="Century Gothic" w:cs="Century Gothic" w:eastAsia="Century Gothic" w:hAnsi="Century Gothic"/>
          <w:color w:val="222222"/>
          <w:sz w:val="24"/>
          <w:szCs w:val="24"/>
          <w:rtl w:val="0"/>
        </w:rPr>
        <w:t xml:space="preserve">Renée Locher is a dancer, choreographer, editor, actor, director, teacher and motivator. From a young age Renée has been captivated by creativity in many forms. Initially seeking fulfillment through dance, she then went on to experiment with acting. As a form of self-expression, the arts have helped her make her way through life with constant stimulation, formulation and execution of ideas. With a father who is a musician, Renée was exposed to many different types of music from before even being born. Renée is energized by music, sounds, and feelings that come from it. She incorporates her love and instinct towards musicality into the creation of any work, and constantly seeks possibility. Having created work for stage and film, she feels most alive and inspired when creating and would choose to live no other way than as an artist with constant curiosity and discovery. </w:t>
      </w:r>
      <w:r w:rsidDel="00000000" w:rsidR="00000000" w:rsidRPr="00000000">
        <w:rPr>
          <w:rtl w:val="0"/>
        </w:rPr>
      </w:r>
    </w:p>
    <w:p w:rsidR="00000000" w:rsidDel="00000000" w:rsidP="00000000" w:rsidRDefault="00000000" w:rsidRPr="00000000" w14:paraId="0000001C">
      <w:pPr>
        <w:shd w:fill="ffffff" w:val="clear"/>
        <w:spacing w:after="280" w:before="280" w:lineRule="auto"/>
        <w:rPr>
          <w:rFonts w:ascii="Milonga" w:cs="Milonga" w:eastAsia="Milonga" w:hAnsi="Milonga"/>
          <w:color w:val="222222"/>
          <w:sz w:val="24"/>
          <w:szCs w:val="24"/>
        </w:rPr>
      </w:pPr>
      <w:r w:rsidDel="00000000" w:rsidR="00000000" w:rsidRPr="00000000">
        <w:rPr>
          <w:rtl w:val="0"/>
        </w:rPr>
      </w:r>
    </w:p>
    <w:p w:rsidR="00000000" w:rsidDel="00000000" w:rsidP="00000000" w:rsidRDefault="00000000" w:rsidRPr="00000000" w14:paraId="0000001D">
      <w:pPr>
        <w:shd w:fill="ffffff" w:val="clear"/>
        <w:spacing w:after="280" w:before="280" w:lineRule="auto"/>
        <w:rPr>
          <w:rFonts w:ascii="Milonga" w:cs="Milonga" w:eastAsia="Milonga" w:hAnsi="Milonga"/>
          <w:color w:val="222222"/>
          <w:sz w:val="28"/>
          <w:szCs w:val="28"/>
        </w:rPr>
      </w:pPr>
      <w:r w:rsidDel="00000000" w:rsidR="00000000" w:rsidRPr="00000000">
        <w:rPr>
          <w:rFonts w:ascii="Milonga" w:cs="Milonga" w:eastAsia="Milonga" w:hAnsi="Milonga"/>
          <w:color w:val="222222"/>
          <w:sz w:val="28"/>
          <w:szCs w:val="28"/>
          <w:rtl w:val="0"/>
        </w:rPr>
        <w:t xml:space="preserve">Robyn Hussa Farrell</w:t>
      </w:r>
    </w:p>
    <w:p w:rsidR="00000000" w:rsidDel="00000000" w:rsidP="00000000" w:rsidRDefault="00000000" w:rsidRPr="00000000" w14:paraId="0000001E">
      <w:pPr>
        <w:shd w:fill="ffffff" w:val="clear"/>
        <w:spacing w:after="280" w:before="280" w:lineRule="auto"/>
        <w:jc w:val="both"/>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color w:val="222222"/>
          <w:sz w:val="24"/>
          <w:szCs w:val="24"/>
          <w:rtl w:val="0"/>
        </w:rPr>
        <w:t xml:space="preserve">Robyn is an award winning New York City producer who created Transport Group theatre company, Founded Mental Fitness – a nonprofit agency building resilience in youth through evidence-based programs and co-Founded Sharpen - -a digital resiliency platform.  She has been developing arts-focused projects that support mental wellness for over 25 years.  More info at sharpenminds.com.</w:t>
      </w:r>
    </w:p>
    <w:p w:rsidR="00000000" w:rsidDel="00000000" w:rsidP="00000000" w:rsidRDefault="00000000" w:rsidRPr="00000000" w14:paraId="0000001F">
      <w:pPr>
        <w:rPr>
          <w:rFonts w:ascii="Milonga" w:cs="Milonga" w:eastAsia="Milonga" w:hAnsi="Milonga"/>
          <w:color w:val="222222"/>
          <w:sz w:val="24"/>
          <w:szCs w:val="24"/>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4902200</wp:posOffset>
                </wp:positionV>
                <wp:extent cx="3292475" cy="250825"/>
                <wp:effectExtent b="0" l="0" r="0" t="0"/>
                <wp:wrapNone/>
                <wp:docPr id="1" name=""/>
                <a:graphic>
                  <a:graphicData uri="http://schemas.microsoft.com/office/word/2010/wordprocessingShape">
                    <wps:wsp>
                      <wps:cNvSpPr/>
                      <wps:cNvPr id="2" name="Shape 2"/>
                      <wps:spPr>
                        <a:xfrm>
                          <a:off x="3704525" y="3659350"/>
                          <a:ext cx="3282950" cy="241300"/>
                        </a:xfrm>
                        <a:prstGeom prst="rect">
                          <a:avLst/>
                        </a:prstGeom>
                        <a:noFill/>
                        <a:ln>
                          <a:noFill/>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©2016 Mental Fitness, Inc.  All rights reserved.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4902200</wp:posOffset>
                </wp:positionV>
                <wp:extent cx="3292475" cy="250825"/>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3292475" cy="250825"/>
                        </a:xfrm>
                        <a:prstGeom prst="rect"/>
                        <a:ln/>
                      </pic:spPr>
                    </pic:pic>
                  </a:graphicData>
                </a:graphic>
              </wp:anchor>
            </w:drawing>
          </mc:Fallback>
        </mc:AlternateContent>
      </w:r>
    </w:p>
    <w:p w:rsidR="00000000" w:rsidDel="00000000" w:rsidP="00000000" w:rsidRDefault="00000000" w:rsidRPr="00000000" w14:paraId="00000020">
      <w:pPr>
        <w:shd w:fill="ffffff" w:val="clear"/>
        <w:spacing w:after="280" w:before="280" w:lineRule="auto"/>
        <w:rPr>
          <w:rFonts w:ascii="Milonga" w:cs="Milonga" w:eastAsia="Milonga" w:hAnsi="Milonga"/>
          <w:color w:val="222222"/>
        </w:rPr>
      </w:pPr>
      <w:r w:rsidDel="00000000" w:rsidR="00000000" w:rsidRPr="00000000">
        <w:rPr>
          <w:rFonts w:ascii="Milonga" w:cs="Milonga" w:eastAsia="Milonga" w:hAnsi="Milonga"/>
          <w:b w:val="1"/>
          <w:color w:val="222222"/>
          <w:sz w:val="28"/>
          <w:szCs w:val="28"/>
          <w:rtl w:val="0"/>
        </w:rPr>
        <w:t xml:space="preserve">Follow Us</w:t>
      </w:r>
      <w:r w:rsidDel="00000000" w:rsidR="00000000" w:rsidRPr="00000000">
        <w:rPr>
          <w:rtl w:val="0"/>
        </w:rPr>
      </w:r>
    </w:p>
    <w:p w:rsidR="00000000" w:rsidDel="00000000" w:rsidP="00000000" w:rsidRDefault="00000000" w:rsidRPr="00000000" w14:paraId="00000021">
      <w:pPr>
        <w:shd w:fill="ffffff" w:val="clear"/>
        <w:spacing w:after="280" w:before="280" w:lineRule="auto"/>
        <w:rPr>
          <w:rFonts w:ascii="Milonga" w:cs="Milonga" w:eastAsia="Milonga" w:hAnsi="Milonga"/>
          <w:color w:val="222222"/>
          <w:sz w:val="24"/>
          <w:szCs w:val="24"/>
        </w:rPr>
      </w:pPr>
      <w:r w:rsidDel="00000000" w:rsidR="00000000" w:rsidRPr="00000000">
        <w:rPr>
          <w:rFonts w:ascii="Milonga" w:cs="Milonga" w:eastAsia="Milonga" w:hAnsi="Milonga"/>
          <w:color w:val="222222"/>
          <w:sz w:val="24"/>
          <w:szCs w:val="24"/>
          <w:rtl w:val="0"/>
        </w:rPr>
        <w:t xml:space="preserve">#themaiyaproject</w:t>
      </w:r>
    </w:p>
    <w:p w:rsidR="00000000" w:rsidDel="00000000" w:rsidP="00000000" w:rsidRDefault="00000000" w:rsidRPr="00000000" w14:paraId="00000022">
      <w:pPr>
        <w:shd w:fill="ffffff" w:val="clear"/>
        <w:spacing w:after="0" w:before="280" w:lineRule="auto"/>
        <w:rPr>
          <w:rFonts w:ascii="Milonga" w:cs="Milonga" w:eastAsia="Milonga" w:hAnsi="Milonga"/>
          <w:color w:val="222222"/>
          <w:sz w:val="24"/>
          <w:szCs w:val="24"/>
        </w:rPr>
      </w:pPr>
      <w:r w:rsidDel="00000000" w:rsidR="00000000" w:rsidRPr="00000000">
        <w:rPr>
          <w:rFonts w:ascii="Milonga" w:cs="Milonga" w:eastAsia="Milonga" w:hAnsi="Milonga"/>
          <w:color w:val="222222"/>
          <w:sz w:val="24"/>
          <w:szCs w:val="24"/>
          <w:rtl w:val="0"/>
        </w:rPr>
        <w:t xml:space="preserve">Credits: </w:t>
      </w:r>
      <w:r w:rsidDel="00000000" w:rsidR="00000000" w:rsidRPr="00000000">
        <w:rPr>
          <w:rFonts w:ascii="Milonga" w:cs="Milonga" w:eastAsia="Milonga" w:hAnsi="Milonga"/>
          <w:i w:val="1"/>
          <w:color w:val="222222"/>
          <w:sz w:val="24"/>
          <w:szCs w:val="24"/>
          <w:rtl w:val="0"/>
        </w:rPr>
        <w:t xml:space="preserve">The Maiya Project</w:t>
      </w:r>
      <w:r w:rsidDel="00000000" w:rsidR="00000000" w:rsidRPr="00000000">
        <w:rPr>
          <w:rtl w:val="0"/>
        </w:rPr>
      </w:r>
    </w:p>
    <w:p w:rsidR="00000000" w:rsidDel="00000000" w:rsidP="00000000" w:rsidRDefault="00000000" w:rsidRPr="00000000" w14:paraId="00000023">
      <w:pPr>
        <w:shd w:fill="ffffff" w:val="clear"/>
        <w:spacing w:after="0" w:before="0" w:lineRule="auto"/>
        <w:rPr>
          <w:rFonts w:ascii="Milonga" w:cs="Milonga" w:eastAsia="Milonga" w:hAnsi="Milonga"/>
          <w:color w:val="222222"/>
          <w:sz w:val="24"/>
          <w:szCs w:val="24"/>
        </w:rPr>
      </w:pPr>
      <w:r w:rsidDel="00000000" w:rsidR="00000000" w:rsidRPr="00000000">
        <w:rPr>
          <w:rFonts w:ascii="Milonga" w:cs="Milonga" w:eastAsia="Milonga" w:hAnsi="Milonga"/>
          <w:color w:val="222222"/>
          <w:sz w:val="24"/>
          <w:szCs w:val="24"/>
          <w:rtl w:val="0"/>
        </w:rPr>
        <w:t xml:space="preserve">Executive Producers: Jenn Friedman</w:t>
      </w:r>
    </w:p>
    <w:p w:rsidR="00000000" w:rsidDel="00000000" w:rsidP="00000000" w:rsidRDefault="00000000" w:rsidRPr="00000000" w14:paraId="00000024">
      <w:pPr>
        <w:shd w:fill="ffffff" w:val="clear"/>
        <w:spacing w:after="0" w:before="0" w:lineRule="auto"/>
        <w:rPr>
          <w:rFonts w:ascii="Milonga" w:cs="Milonga" w:eastAsia="Milonga" w:hAnsi="Milonga"/>
          <w:color w:val="222222"/>
          <w:sz w:val="24"/>
          <w:szCs w:val="24"/>
        </w:rPr>
      </w:pPr>
      <w:r w:rsidDel="00000000" w:rsidR="00000000" w:rsidRPr="00000000">
        <w:rPr>
          <w:rFonts w:ascii="Milonga" w:cs="Milonga" w:eastAsia="Milonga" w:hAnsi="Milonga"/>
          <w:color w:val="222222"/>
          <w:sz w:val="24"/>
          <w:szCs w:val="24"/>
          <w:rtl w:val="0"/>
        </w:rPr>
        <w:t xml:space="preserve">Senior Producer: Robyn Hussa Farrell </w:t>
      </w:r>
    </w:p>
    <w:p w:rsidR="00000000" w:rsidDel="00000000" w:rsidP="00000000" w:rsidRDefault="00000000" w:rsidRPr="00000000" w14:paraId="00000025">
      <w:pPr>
        <w:shd w:fill="ffffff" w:val="clear"/>
        <w:spacing w:after="0" w:before="0" w:lineRule="auto"/>
        <w:rPr>
          <w:rFonts w:ascii="Milonga" w:cs="Milonga" w:eastAsia="Milonga" w:hAnsi="Milonga"/>
          <w:color w:val="222222"/>
          <w:sz w:val="24"/>
          <w:szCs w:val="24"/>
        </w:rPr>
      </w:pPr>
      <w:r w:rsidDel="00000000" w:rsidR="00000000" w:rsidRPr="00000000">
        <w:rPr>
          <w:rFonts w:ascii="Milonga" w:cs="Milonga" w:eastAsia="Milonga" w:hAnsi="Milonga"/>
          <w:color w:val="222222"/>
          <w:sz w:val="24"/>
          <w:szCs w:val="24"/>
          <w:rtl w:val="0"/>
        </w:rPr>
        <w:t xml:space="preserve">Director / Choreographer / Editor / Hair and Makeup Artist: Renée Locher</w:t>
      </w:r>
    </w:p>
    <w:p w:rsidR="00000000" w:rsidDel="00000000" w:rsidP="00000000" w:rsidRDefault="00000000" w:rsidRPr="00000000" w14:paraId="00000026">
      <w:pPr>
        <w:shd w:fill="ffffff" w:val="clear"/>
        <w:spacing w:after="0" w:before="0" w:lineRule="auto"/>
        <w:rPr>
          <w:rFonts w:ascii="Milonga" w:cs="Milonga" w:eastAsia="Milonga" w:hAnsi="Milonga"/>
          <w:color w:val="222222"/>
          <w:sz w:val="24"/>
          <w:szCs w:val="24"/>
        </w:rPr>
      </w:pPr>
      <w:r w:rsidDel="00000000" w:rsidR="00000000" w:rsidRPr="00000000">
        <w:rPr>
          <w:rFonts w:ascii="Milonga" w:cs="Milonga" w:eastAsia="Milonga" w:hAnsi="Milonga"/>
          <w:color w:val="222222"/>
          <w:sz w:val="24"/>
          <w:szCs w:val="24"/>
          <w:rtl w:val="0"/>
        </w:rPr>
        <w:t xml:space="preserve">Concept Creator / Musician / Composer / Assistant to Director: Jenn Friedman</w:t>
      </w:r>
    </w:p>
    <w:p w:rsidR="00000000" w:rsidDel="00000000" w:rsidP="00000000" w:rsidRDefault="00000000" w:rsidRPr="00000000" w14:paraId="00000027">
      <w:pPr>
        <w:shd w:fill="ffffff" w:val="clear"/>
        <w:spacing w:after="0" w:before="0" w:lineRule="auto"/>
        <w:rPr>
          <w:rFonts w:ascii="Milonga" w:cs="Milonga" w:eastAsia="Milonga" w:hAnsi="Milonga"/>
          <w:color w:val="222222"/>
          <w:sz w:val="24"/>
          <w:szCs w:val="24"/>
        </w:rPr>
      </w:pPr>
      <w:r w:rsidDel="00000000" w:rsidR="00000000" w:rsidRPr="00000000">
        <w:rPr>
          <w:rFonts w:ascii="Milonga" w:cs="Milonga" w:eastAsia="Milonga" w:hAnsi="Milonga"/>
          <w:color w:val="222222"/>
          <w:sz w:val="24"/>
          <w:szCs w:val="24"/>
          <w:rtl w:val="0"/>
        </w:rPr>
        <w:t xml:space="preserve">Videographer / Assistant to Editor: Javale Jean-Pierre</w:t>
      </w:r>
    </w:p>
    <w:p w:rsidR="00000000" w:rsidDel="00000000" w:rsidP="00000000" w:rsidRDefault="00000000" w:rsidRPr="00000000" w14:paraId="00000028">
      <w:pPr>
        <w:shd w:fill="ffffff" w:val="clear"/>
        <w:spacing w:after="0" w:before="0" w:lineRule="auto"/>
        <w:rPr>
          <w:rFonts w:ascii="Milonga" w:cs="Milonga" w:eastAsia="Milonga" w:hAnsi="Milonga"/>
          <w:color w:val="222222"/>
          <w:sz w:val="24"/>
          <w:szCs w:val="24"/>
        </w:rPr>
      </w:pPr>
      <w:r w:rsidDel="00000000" w:rsidR="00000000" w:rsidRPr="00000000">
        <w:rPr>
          <w:rFonts w:ascii="Milonga" w:cs="Milonga" w:eastAsia="Milonga" w:hAnsi="Milonga"/>
          <w:color w:val="222222"/>
          <w:sz w:val="24"/>
          <w:szCs w:val="24"/>
          <w:rtl w:val="0"/>
        </w:rPr>
        <w:t xml:space="preserve">Dancer - Maiya: Jennifer Converse</w:t>
      </w:r>
    </w:p>
    <w:p w:rsidR="00000000" w:rsidDel="00000000" w:rsidP="00000000" w:rsidRDefault="00000000" w:rsidRPr="00000000" w14:paraId="00000029">
      <w:pPr>
        <w:shd w:fill="ffffff" w:val="clear"/>
        <w:spacing w:after="0" w:before="0" w:lineRule="auto"/>
        <w:rPr>
          <w:rFonts w:ascii="Milonga" w:cs="Milonga" w:eastAsia="Milonga" w:hAnsi="Milonga"/>
          <w:color w:val="222222"/>
          <w:sz w:val="24"/>
          <w:szCs w:val="24"/>
        </w:rPr>
      </w:pPr>
      <w:r w:rsidDel="00000000" w:rsidR="00000000" w:rsidRPr="00000000">
        <w:rPr>
          <w:rFonts w:ascii="Milonga" w:cs="Milonga" w:eastAsia="Milonga" w:hAnsi="Milonga"/>
          <w:color w:val="222222"/>
          <w:sz w:val="24"/>
          <w:szCs w:val="24"/>
          <w:rtl w:val="0"/>
        </w:rPr>
        <w:t xml:space="preserve">Dancer - Healthy Voice: Anna Vlasova</w:t>
      </w:r>
    </w:p>
    <w:p w:rsidR="00000000" w:rsidDel="00000000" w:rsidP="00000000" w:rsidRDefault="00000000" w:rsidRPr="00000000" w14:paraId="0000002A">
      <w:pPr>
        <w:shd w:fill="ffffff" w:val="clear"/>
        <w:spacing w:after="0" w:before="0" w:lineRule="auto"/>
        <w:rPr>
          <w:rFonts w:ascii="Milonga" w:cs="Milonga" w:eastAsia="Milonga" w:hAnsi="Milonga"/>
          <w:color w:val="222222"/>
          <w:sz w:val="24"/>
          <w:szCs w:val="24"/>
        </w:rPr>
      </w:pPr>
      <w:r w:rsidDel="00000000" w:rsidR="00000000" w:rsidRPr="00000000">
        <w:rPr>
          <w:rFonts w:ascii="Milonga" w:cs="Milonga" w:eastAsia="Milonga" w:hAnsi="Milonga"/>
          <w:color w:val="222222"/>
          <w:sz w:val="24"/>
          <w:szCs w:val="24"/>
          <w:rtl w:val="0"/>
        </w:rPr>
        <w:t xml:space="preserve">Dancer - Eating Disordered Voice: Katie Kilbourn</w:t>
      </w:r>
    </w:p>
    <w:p w:rsidR="00000000" w:rsidDel="00000000" w:rsidP="00000000" w:rsidRDefault="00000000" w:rsidRPr="00000000" w14:paraId="0000002B">
      <w:pPr>
        <w:shd w:fill="ffffff" w:val="clear"/>
        <w:spacing w:after="0" w:before="0" w:lineRule="auto"/>
        <w:rPr>
          <w:rFonts w:ascii="Milonga" w:cs="Milonga" w:eastAsia="Milonga" w:hAnsi="Milonga"/>
          <w:color w:val="222222"/>
          <w:sz w:val="24"/>
          <w:szCs w:val="24"/>
        </w:rPr>
      </w:pPr>
      <w:r w:rsidDel="00000000" w:rsidR="00000000" w:rsidRPr="00000000">
        <w:rPr>
          <w:rFonts w:ascii="Milonga" w:cs="Milonga" w:eastAsia="Milonga" w:hAnsi="Milonga"/>
          <w:color w:val="222222"/>
          <w:sz w:val="24"/>
          <w:szCs w:val="24"/>
          <w:rtl w:val="0"/>
        </w:rPr>
        <w:t xml:space="preserve">Maiya Willett as Herself</w:t>
      </w:r>
    </w:p>
    <w:p w:rsidR="00000000" w:rsidDel="00000000" w:rsidP="00000000" w:rsidRDefault="00000000" w:rsidRPr="00000000" w14:paraId="0000002C">
      <w:pPr>
        <w:shd w:fill="ffffff" w:val="clear"/>
        <w:spacing w:after="0" w:before="0" w:lineRule="auto"/>
        <w:rPr>
          <w:rFonts w:ascii="Milonga" w:cs="Milonga" w:eastAsia="Milonga" w:hAnsi="Milonga"/>
          <w:color w:val="222222"/>
          <w:sz w:val="24"/>
          <w:szCs w:val="24"/>
        </w:rPr>
      </w:pPr>
      <w:r w:rsidDel="00000000" w:rsidR="00000000" w:rsidRPr="00000000">
        <w:rPr>
          <w:rFonts w:ascii="Milonga" w:cs="Milonga" w:eastAsia="Milonga" w:hAnsi="Milonga"/>
          <w:color w:val="222222"/>
          <w:sz w:val="24"/>
          <w:szCs w:val="24"/>
          <w:rtl w:val="0"/>
        </w:rPr>
        <w:t xml:space="preserve">Photographer: Ev Horrosh</w:t>
      </w:r>
    </w:p>
    <w:p w:rsidR="00000000" w:rsidDel="00000000" w:rsidP="00000000" w:rsidRDefault="00000000" w:rsidRPr="00000000" w14:paraId="0000002D">
      <w:pPr>
        <w:shd w:fill="ffffff" w:val="clear"/>
        <w:spacing w:after="0" w:before="0" w:lineRule="auto"/>
        <w:rPr>
          <w:rFonts w:ascii="Milonga" w:cs="Milonga" w:eastAsia="Milonga" w:hAnsi="Milonga"/>
          <w:color w:val="222222"/>
          <w:sz w:val="24"/>
          <w:szCs w:val="24"/>
        </w:rPr>
      </w:pPr>
      <w:r w:rsidDel="00000000" w:rsidR="00000000" w:rsidRPr="00000000">
        <w:rPr>
          <w:rFonts w:ascii="Milonga" w:cs="Milonga" w:eastAsia="Milonga" w:hAnsi="Milonga"/>
          <w:color w:val="222222"/>
          <w:sz w:val="24"/>
          <w:szCs w:val="24"/>
          <w:rtl w:val="0"/>
        </w:rPr>
        <w:t xml:space="preserve">Filmed at Wicker's Creek, Dobb's Ferry, NY</w:t>
      </w:r>
    </w:p>
    <w:p w:rsidR="00000000" w:rsidDel="00000000" w:rsidP="00000000" w:rsidRDefault="00000000" w:rsidRPr="00000000" w14:paraId="0000002E">
      <w:pPr>
        <w:shd w:fill="ffffff" w:val="clear"/>
        <w:spacing w:after="0" w:before="0" w:lineRule="auto"/>
        <w:rPr>
          <w:rFonts w:ascii="Milonga" w:cs="Milonga" w:eastAsia="Milonga" w:hAnsi="Milonga"/>
          <w:color w:val="222222"/>
          <w:sz w:val="24"/>
          <w:szCs w:val="24"/>
        </w:rPr>
      </w:pPr>
      <w:r w:rsidDel="00000000" w:rsidR="00000000" w:rsidRPr="00000000">
        <w:rPr>
          <w:rtl w:val="0"/>
        </w:rPr>
      </w:r>
    </w:p>
    <w:p w:rsidR="00000000" w:rsidDel="00000000" w:rsidP="00000000" w:rsidRDefault="00000000" w:rsidRPr="00000000" w14:paraId="0000002F">
      <w:pPr>
        <w:shd w:fill="ffffff" w:val="clear"/>
        <w:spacing w:after="0" w:before="0" w:lineRule="auto"/>
        <w:rPr>
          <w:rFonts w:ascii="Milonga" w:cs="Milonga" w:eastAsia="Milonga" w:hAnsi="Milonga"/>
          <w:color w:val="222222"/>
          <w:sz w:val="24"/>
          <w:szCs w:val="24"/>
        </w:rPr>
      </w:pPr>
      <w:r w:rsidDel="00000000" w:rsidR="00000000" w:rsidRPr="00000000">
        <w:rPr>
          <w:rFonts w:ascii="Milonga" w:cs="Milonga" w:eastAsia="Milonga" w:hAnsi="Milonga"/>
          <w:color w:val="222222"/>
          <w:sz w:val="24"/>
          <w:szCs w:val="24"/>
          <w:rtl w:val="0"/>
        </w:rPr>
        <w:t xml:space="preserve">Music: "Maiya" </w:t>
      </w:r>
    </w:p>
    <w:p w:rsidR="00000000" w:rsidDel="00000000" w:rsidP="00000000" w:rsidRDefault="00000000" w:rsidRPr="00000000" w14:paraId="00000030">
      <w:pPr>
        <w:shd w:fill="ffffff" w:val="clear"/>
        <w:spacing w:after="0" w:before="0" w:lineRule="auto"/>
        <w:rPr>
          <w:rFonts w:ascii="Milonga" w:cs="Milonga" w:eastAsia="Milonga" w:hAnsi="Milonga"/>
          <w:color w:val="222222"/>
          <w:sz w:val="24"/>
          <w:szCs w:val="24"/>
        </w:rPr>
      </w:pPr>
      <w:r w:rsidDel="00000000" w:rsidR="00000000" w:rsidRPr="00000000">
        <w:rPr>
          <w:sz w:val="18"/>
          <w:szCs w:val="18"/>
          <w:rtl w:val="0"/>
        </w:rPr>
        <w:t xml:space="preserve">©</w:t>
      </w:r>
      <w:r w:rsidDel="00000000" w:rsidR="00000000" w:rsidRPr="00000000">
        <w:rPr>
          <w:rFonts w:ascii="Milonga" w:cs="Milonga" w:eastAsia="Milonga" w:hAnsi="Milonga"/>
          <w:color w:val="222222"/>
          <w:sz w:val="24"/>
          <w:szCs w:val="24"/>
          <w:rtl w:val="0"/>
        </w:rPr>
        <w:t xml:space="preserve">2015 Jennifer Friedman.  All rights reserved.</w:t>
      </w:r>
    </w:p>
    <w:p w:rsidR="00000000" w:rsidDel="00000000" w:rsidP="00000000" w:rsidRDefault="00000000" w:rsidRPr="00000000" w14:paraId="00000031">
      <w:pPr>
        <w:shd w:fill="ffffff" w:val="clear"/>
        <w:spacing w:after="0" w:before="0" w:lineRule="auto"/>
        <w:rPr>
          <w:rFonts w:ascii="Milonga" w:cs="Milonga" w:eastAsia="Milonga" w:hAnsi="Milonga"/>
          <w:color w:val="222222"/>
          <w:sz w:val="24"/>
          <w:szCs w:val="24"/>
        </w:rPr>
      </w:pPr>
      <w:r w:rsidDel="00000000" w:rsidR="00000000" w:rsidRPr="00000000">
        <w:rPr>
          <w:rtl w:val="0"/>
        </w:rPr>
      </w:r>
    </w:p>
    <w:p w:rsidR="00000000" w:rsidDel="00000000" w:rsidP="00000000" w:rsidRDefault="00000000" w:rsidRPr="00000000" w14:paraId="00000032">
      <w:pPr>
        <w:shd w:fill="ffffff" w:val="clear"/>
        <w:spacing w:after="0" w:before="0" w:lineRule="auto"/>
        <w:rPr>
          <w:rFonts w:ascii="Milonga" w:cs="Milonga" w:eastAsia="Milonga" w:hAnsi="Milonga"/>
          <w:color w:val="222222"/>
          <w:sz w:val="24"/>
          <w:szCs w:val="24"/>
        </w:rPr>
      </w:pPr>
      <w:r w:rsidDel="00000000" w:rsidR="00000000" w:rsidRPr="00000000">
        <w:rPr>
          <w:rFonts w:ascii="Milonga" w:cs="Milonga" w:eastAsia="Milonga" w:hAnsi="Milonga"/>
          <w:color w:val="222222"/>
          <w:sz w:val="24"/>
          <w:szCs w:val="24"/>
          <w:rtl w:val="0"/>
        </w:rPr>
        <w:t xml:space="preserve">Vocals and Piano: Jenn Friedman</w:t>
      </w:r>
    </w:p>
    <w:p w:rsidR="00000000" w:rsidDel="00000000" w:rsidP="00000000" w:rsidRDefault="00000000" w:rsidRPr="00000000" w14:paraId="00000033">
      <w:pPr>
        <w:shd w:fill="ffffff" w:val="clear"/>
        <w:spacing w:after="0" w:before="0" w:lineRule="auto"/>
        <w:rPr>
          <w:rFonts w:ascii="Milonga" w:cs="Milonga" w:eastAsia="Milonga" w:hAnsi="Milonga"/>
          <w:color w:val="222222"/>
          <w:sz w:val="24"/>
          <w:szCs w:val="24"/>
        </w:rPr>
      </w:pPr>
      <w:r w:rsidDel="00000000" w:rsidR="00000000" w:rsidRPr="00000000">
        <w:rPr>
          <w:rtl w:val="0"/>
        </w:rPr>
      </w:r>
    </w:p>
    <w:p w:rsidR="00000000" w:rsidDel="00000000" w:rsidP="00000000" w:rsidRDefault="00000000" w:rsidRPr="00000000" w14:paraId="00000034">
      <w:pPr>
        <w:shd w:fill="ffffff" w:val="clear"/>
        <w:spacing w:after="0" w:before="0" w:lineRule="auto"/>
        <w:rPr>
          <w:rFonts w:ascii="Milonga" w:cs="Milonga" w:eastAsia="Milonga" w:hAnsi="Milonga"/>
          <w:color w:val="222222"/>
          <w:sz w:val="24"/>
          <w:szCs w:val="24"/>
        </w:rPr>
      </w:pPr>
      <w:r w:rsidDel="00000000" w:rsidR="00000000" w:rsidRPr="00000000">
        <w:rPr>
          <w:rFonts w:ascii="Milonga" w:cs="Milonga" w:eastAsia="Milonga" w:hAnsi="Milonga"/>
          <w:color w:val="222222"/>
          <w:sz w:val="24"/>
          <w:szCs w:val="24"/>
          <w:rtl w:val="0"/>
        </w:rPr>
        <w:t xml:space="preserve">Drums: Patrick Roman</w:t>
      </w:r>
    </w:p>
    <w:p w:rsidR="00000000" w:rsidDel="00000000" w:rsidP="00000000" w:rsidRDefault="00000000" w:rsidRPr="00000000" w14:paraId="00000035">
      <w:pPr>
        <w:shd w:fill="ffffff" w:val="clear"/>
        <w:spacing w:after="0" w:before="0" w:lineRule="auto"/>
        <w:rPr>
          <w:rFonts w:ascii="Milonga" w:cs="Milonga" w:eastAsia="Milonga" w:hAnsi="Milonga"/>
          <w:color w:val="222222"/>
          <w:sz w:val="24"/>
          <w:szCs w:val="24"/>
        </w:rPr>
      </w:pPr>
      <w:r w:rsidDel="00000000" w:rsidR="00000000" w:rsidRPr="00000000">
        <w:rPr>
          <w:rtl w:val="0"/>
        </w:rPr>
      </w:r>
    </w:p>
    <w:p w:rsidR="00000000" w:rsidDel="00000000" w:rsidP="00000000" w:rsidRDefault="00000000" w:rsidRPr="00000000" w14:paraId="00000036">
      <w:pPr>
        <w:shd w:fill="ffffff" w:val="clear"/>
        <w:spacing w:after="0" w:before="0" w:lineRule="auto"/>
        <w:rPr>
          <w:rFonts w:ascii="Milonga" w:cs="Milonga" w:eastAsia="Milonga" w:hAnsi="Milonga"/>
          <w:color w:val="222222"/>
          <w:sz w:val="24"/>
          <w:szCs w:val="24"/>
        </w:rPr>
      </w:pPr>
      <w:r w:rsidDel="00000000" w:rsidR="00000000" w:rsidRPr="00000000">
        <w:rPr>
          <w:rFonts w:ascii="Milonga" w:cs="Milonga" w:eastAsia="Milonga" w:hAnsi="Milonga"/>
          <w:color w:val="222222"/>
          <w:sz w:val="24"/>
          <w:szCs w:val="24"/>
          <w:rtl w:val="0"/>
        </w:rPr>
        <w:t xml:space="preserve">Cello: Anthony Fischer</w:t>
      </w:r>
    </w:p>
    <w:p w:rsidR="00000000" w:rsidDel="00000000" w:rsidP="00000000" w:rsidRDefault="00000000" w:rsidRPr="00000000" w14:paraId="00000037">
      <w:pPr>
        <w:shd w:fill="ffffff" w:val="clear"/>
        <w:spacing w:after="0" w:before="0" w:lineRule="auto"/>
        <w:rPr>
          <w:rFonts w:ascii="Milonga" w:cs="Milonga" w:eastAsia="Milonga" w:hAnsi="Milonga"/>
          <w:color w:val="222222"/>
          <w:sz w:val="24"/>
          <w:szCs w:val="24"/>
        </w:rPr>
      </w:pPr>
      <w:r w:rsidDel="00000000" w:rsidR="00000000" w:rsidRPr="00000000">
        <w:rPr>
          <w:rtl w:val="0"/>
        </w:rPr>
      </w:r>
    </w:p>
    <w:p w:rsidR="00000000" w:rsidDel="00000000" w:rsidP="00000000" w:rsidRDefault="00000000" w:rsidRPr="00000000" w14:paraId="00000038">
      <w:pPr>
        <w:shd w:fill="ffffff" w:val="clear"/>
        <w:spacing w:after="0" w:before="0" w:lineRule="auto"/>
        <w:rPr>
          <w:rFonts w:ascii="Milonga" w:cs="Milonga" w:eastAsia="Milonga" w:hAnsi="Milonga"/>
          <w:color w:val="222222"/>
          <w:sz w:val="24"/>
          <w:szCs w:val="24"/>
        </w:rPr>
      </w:pPr>
      <w:r w:rsidDel="00000000" w:rsidR="00000000" w:rsidRPr="00000000">
        <w:rPr>
          <w:rFonts w:ascii="Milonga" w:cs="Milonga" w:eastAsia="Milonga" w:hAnsi="Milonga"/>
          <w:color w:val="222222"/>
          <w:sz w:val="24"/>
          <w:szCs w:val="24"/>
          <w:rtl w:val="0"/>
        </w:rPr>
        <w:t xml:space="preserve">Bass and other instruments: Wayne Becker</w:t>
      </w:r>
    </w:p>
    <w:p w:rsidR="00000000" w:rsidDel="00000000" w:rsidP="00000000" w:rsidRDefault="00000000" w:rsidRPr="00000000" w14:paraId="00000039">
      <w:pPr>
        <w:shd w:fill="ffffff" w:val="clear"/>
        <w:spacing w:after="0" w:before="0" w:lineRule="auto"/>
        <w:rPr>
          <w:rFonts w:ascii="Milonga" w:cs="Milonga" w:eastAsia="Milonga" w:hAnsi="Milonga"/>
          <w:color w:val="222222"/>
          <w:sz w:val="24"/>
          <w:szCs w:val="24"/>
        </w:rPr>
      </w:pPr>
      <w:r w:rsidDel="00000000" w:rsidR="00000000" w:rsidRPr="00000000">
        <w:rPr>
          <w:rtl w:val="0"/>
        </w:rPr>
      </w:r>
    </w:p>
    <w:p w:rsidR="00000000" w:rsidDel="00000000" w:rsidP="00000000" w:rsidRDefault="00000000" w:rsidRPr="00000000" w14:paraId="0000003A">
      <w:pPr>
        <w:widowControl w:val="0"/>
        <w:shd w:fill="ffffff" w:val="clear"/>
        <w:spacing w:after="0" w:before="0" w:lineRule="auto"/>
        <w:rPr>
          <w:rFonts w:ascii="Milonga" w:cs="Milonga" w:eastAsia="Milonga" w:hAnsi="Milonga"/>
          <w:color w:val="222222"/>
          <w:sz w:val="24"/>
          <w:szCs w:val="24"/>
        </w:rPr>
      </w:pPr>
      <w:r w:rsidDel="00000000" w:rsidR="00000000" w:rsidRPr="00000000">
        <w:rPr>
          <w:rFonts w:ascii="Milonga" w:cs="Milonga" w:eastAsia="Milonga" w:hAnsi="Milonga"/>
          <w:color w:val="222222"/>
          <w:sz w:val="24"/>
          <w:szCs w:val="24"/>
          <w:rtl w:val="0"/>
        </w:rPr>
        <w:t xml:space="preserve">Recorded by Wayne Becker at Westwires Recording USA</w:t>
      </w:r>
    </w:p>
    <w:p w:rsidR="00000000" w:rsidDel="00000000" w:rsidP="00000000" w:rsidRDefault="00000000" w:rsidRPr="00000000" w14:paraId="0000003B">
      <w:pPr>
        <w:shd w:fill="ffffff" w:val="clear"/>
        <w:spacing w:after="0" w:before="0" w:lineRule="auto"/>
        <w:rPr>
          <w:rFonts w:ascii="Milonga" w:cs="Milonga" w:eastAsia="Milonga" w:hAnsi="Milonga"/>
          <w:color w:val="1155cc"/>
          <w:sz w:val="24"/>
          <w:szCs w:val="24"/>
          <w:u w:val="single"/>
        </w:rPr>
      </w:pPr>
      <w:hyperlink r:id="rId8">
        <w:r w:rsidDel="00000000" w:rsidR="00000000" w:rsidRPr="00000000">
          <w:rPr>
            <w:rFonts w:ascii="Milonga" w:cs="Milonga" w:eastAsia="Milonga" w:hAnsi="Milonga"/>
            <w:color w:val="1155cc"/>
            <w:sz w:val="24"/>
            <w:szCs w:val="24"/>
            <w:u w:val="single"/>
            <w:rtl w:val="0"/>
          </w:rPr>
          <w:t xml:space="preserve">www.westwires.com</w:t>
        </w:r>
      </w:hyperlink>
      <w:r w:rsidDel="00000000" w:rsidR="00000000" w:rsidRPr="00000000">
        <w:rPr>
          <w:rtl w:val="0"/>
        </w:rPr>
      </w:r>
    </w:p>
    <w:p w:rsidR="00000000" w:rsidDel="00000000" w:rsidP="00000000" w:rsidRDefault="00000000" w:rsidRPr="00000000" w14:paraId="0000003C">
      <w:pPr>
        <w:shd w:fill="ffffff" w:val="clear"/>
        <w:spacing w:after="0" w:before="0" w:lineRule="auto"/>
        <w:rPr>
          <w:rFonts w:ascii="Milonga" w:cs="Milonga" w:eastAsia="Milonga" w:hAnsi="Milonga"/>
          <w:color w:val="222222"/>
          <w:sz w:val="24"/>
          <w:szCs w:val="24"/>
        </w:rPr>
      </w:pPr>
      <w:r w:rsidDel="00000000" w:rsidR="00000000" w:rsidRPr="00000000">
        <w:rPr>
          <w:rtl w:val="0"/>
        </w:rPr>
      </w:r>
    </w:p>
    <w:p w:rsidR="00000000" w:rsidDel="00000000" w:rsidP="00000000" w:rsidRDefault="00000000" w:rsidRPr="00000000" w14:paraId="0000003D">
      <w:pPr>
        <w:shd w:fill="ffffff" w:val="clear"/>
        <w:spacing w:after="0" w:before="0" w:lineRule="auto"/>
        <w:rPr>
          <w:rFonts w:ascii="Milonga" w:cs="Milonga" w:eastAsia="Milonga" w:hAnsi="Milonga"/>
          <w:color w:val="222222"/>
          <w:sz w:val="24"/>
          <w:szCs w:val="24"/>
        </w:rPr>
      </w:pPr>
      <w:r w:rsidDel="00000000" w:rsidR="00000000" w:rsidRPr="00000000">
        <w:rPr>
          <w:rFonts w:ascii="Milonga" w:cs="Milonga" w:eastAsia="Milonga" w:hAnsi="Milonga"/>
          <w:color w:val="222222"/>
          <w:sz w:val="24"/>
          <w:szCs w:val="24"/>
          <w:rtl w:val="0"/>
        </w:rPr>
        <w:t xml:space="preserve">Produced by Wayne Becker and Jenn Friedman</w:t>
      </w:r>
    </w:p>
    <w:p w:rsidR="00000000" w:rsidDel="00000000" w:rsidP="00000000" w:rsidRDefault="00000000" w:rsidRPr="00000000" w14:paraId="0000003E">
      <w:pPr>
        <w:shd w:fill="ffffff" w:val="clear"/>
        <w:spacing w:after="0" w:before="0" w:lineRule="auto"/>
        <w:rPr>
          <w:rFonts w:ascii="Milonga" w:cs="Milonga" w:eastAsia="Milonga" w:hAnsi="Milonga"/>
          <w:color w:val="222222"/>
          <w:sz w:val="24"/>
          <w:szCs w:val="24"/>
        </w:rPr>
      </w:pPr>
      <w:r w:rsidDel="00000000" w:rsidR="00000000" w:rsidRPr="00000000">
        <w:rPr>
          <w:rtl w:val="0"/>
        </w:rPr>
      </w:r>
    </w:p>
    <w:p w:rsidR="00000000" w:rsidDel="00000000" w:rsidP="00000000" w:rsidRDefault="00000000" w:rsidRPr="00000000" w14:paraId="0000003F">
      <w:pPr>
        <w:shd w:fill="ffffff" w:val="clear"/>
        <w:spacing w:after="0" w:before="0" w:lineRule="auto"/>
        <w:rPr>
          <w:rFonts w:ascii="Milonga" w:cs="Milonga" w:eastAsia="Milonga" w:hAnsi="Milonga"/>
          <w:color w:val="222222"/>
          <w:sz w:val="24"/>
          <w:szCs w:val="24"/>
        </w:rPr>
      </w:pPr>
      <w:r w:rsidDel="00000000" w:rsidR="00000000" w:rsidRPr="00000000">
        <w:rPr>
          <w:rFonts w:ascii="Milonga" w:cs="Milonga" w:eastAsia="Milonga" w:hAnsi="Milonga"/>
          <w:color w:val="222222"/>
          <w:sz w:val="24"/>
          <w:szCs w:val="24"/>
          <w:rtl w:val="0"/>
        </w:rPr>
        <w:t xml:space="preserve">Released by Personal Bias Records</w:t>
      </w:r>
    </w:p>
    <w:p w:rsidR="00000000" w:rsidDel="00000000" w:rsidP="00000000" w:rsidRDefault="00000000" w:rsidRPr="00000000" w14:paraId="00000040">
      <w:pPr>
        <w:shd w:fill="ffffff" w:val="clear"/>
        <w:spacing w:after="0" w:before="0" w:lineRule="auto"/>
        <w:rPr>
          <w:rFonts w:ascii="Milonga" w:cs="Milonga" w:eastAsia="Milonga" w:hAnsi="Milonga"/>
          <w:color w:val="1155cc"/>
          <w:sz w:val="24"/>
          <w:szCs w:val="24"/>
          <w:u w:val="single"/>
        </w:rPr>
      </w:pPr>
      <w:hyperlink r:id="rId9">
        <w:r w:rsidDel="00000000" w:rsidR="00000000" w:rsidRPr="00000000">
          <w:rPr>
            <w:rFonts w:ascii="Milonga" w:cs="Milonga" w:eastAsia="Milonga" w:hAnsi="Milonga"/>
            <w:color w:val="1155cc"/>
            <w:sz w:val="24"/>
            <w:szCs w:val="24"/>
            <w:u w:val="single"/>
            <w:rtl w:val="0"/>
          </w:rPr>
          <w:t xml:space="preserve">www.personalbiasrecords.com</w:t>
        </w:r>
      </w:hyperlink>
      <w:r w:rsidDel="00000000" w:rsidR="00000000" w:rsidRPr="00000000">
        <w:rPr>
          <w:rtl w:val="0"/>
        </w:rPr>
      </w:r>
    </w:p>
    <w:p w:rsidR="00000000" w:rsidDel="00000000" w:rsidP="00000000" w:rsidRDefault="00000000" w:rsidRPr="00000000" w14:paraId="00000041">
      <w:pPr>
        <w:shd w:fill="ffffff" w:val="clear"/>
        <w:spacing w:after="0" w:before="0" w:lineRule="auto"/>
        <w:rPr>
          <w:rFonts w:ascii="Milonga" w:cs="Milonga" w:eastAsia="Milonga" w:hAnsi="Milonga"/>
          <w:color w:val="222222"/>
          <w:sz w:val="24"/>
          <w:szCs w:val="24"/>
        </w:rPr>
      </w:pPr>
      <w:r w:rsidDel="00000000" w:rsidR="00000000" w:rsidRPr="00000000">
        <w:rPr>
          <w:rtl w:val="0"/>
        </w:rPr>
      </w:r>
    </w:p>
    <w:p w:rsidR="00000000" w:rsidDel="00000000" w:rsidP="00000000" w:rsidRDefault="00000000" w:rsidRPr="00000000" w14:paraId="00000042">
      <w:pPr>
        <w:spacing w:after="120" w:lineRule="auto"/>
        <w:rPr>
          <w:rFonts w:ascii="Milonga" w:cs="Milonga" w:eastAsia="Milonga" w:hAnsi="Milonga"/>
          <w:b w:val="1"/>
          <w:color w:val="00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43">
      <w:pPr>
        <w:shd w:fill="ffffff" w:val="clear"/>
        <w:spacing w:after="280" w:before="120" w:lineRule="auto"/>
        <w:jc w:val="center"/>
        <w:rPr>
          <w:rFonts w:ascii="Milonga" w:cs="Milonga" w:eastAsia="Milonga" w:hAnsi="Milonga"/>
          <w:color w:val="222222"/>
        </w:rPr>
      </w:pPr>
      <w:r w:rsidDel="00000000" w:rsidR="00000000" w:rsidRPr="00000000">
        <w:rPr>
          <w:rFonts w:ascii="Milonga" w:cs="Milonga" w:eastAsia="Milonga" w:hAnsi="Milonga"/>
          <w:b w:val="1"/>
          <w:color w:val="000000"/>
          <w:sz w:val="32"/>
          <w:szCs w:val="32"/>
          <w:rtl w:val="0"/>
        </w:rPr>
        <w:t xml:space="preserve">Terms of Use for </w:t>
      </w:r>
      <w:r w:rsidDel="00000000" w:rsidR="00000000" w:rsidRPr="00000000">
        <w:rPr>
          <w:rFonts w:ascii="Milonga" w:cs="Milonga" w:eastAsia="Milonga" w:hAnsi="Milonga"/>
          <w:b w:val="1"/>
          <w:i w:val="1"/>
          <w:color w:val="000000"/>
          <w:sz w:val="32"/>
          <w:szCs w:val="32"/>
          <w:rtl w:val="0"/>
        </w:rPr>
        <w:t xml:space="preserve">The Maiya Project</w:t>
      </w:r>
      <w:r w:rsidDel="00000000" w:rsidR="00000000" w:rsidRPr="00000000">
        <w:rPr>
          <w:rFonts w:ascii="Milonga" w:cs="Milonga" w:eastAsia="Milonga" w:hAnsi="Milonga"/>
          <w:b w:val="1"/>
          <w:color w:val="000000"/>
          <w:sz w:val="32"/>
          <w:szCs w:val="32"/>
          <w:rtl w:val="0"/>
        </w:rPr>
        <w:t xml:space="preserve"> </w:t>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ffffff" w:val="clear"/>
        <w:spacing w:after="0" w:before="24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Name of Program</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t>
        <w:tab/>
        <w:t xml:space="preserve">“The Maiya Project Study Packet”</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ffffff" w:val="clear"/>
        <w:spacing w:after="0" w:before="24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These Terms of Use (“Terms”) apply to your use of all teaching material provided to you by The Maiya Project (“Maiya”) associated with the program materials described above (collectively, “Teaching Materials”).  The Teaching Materials are being provided to you at no cost, as part of a “tiered training” program. </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ffffff" w:val="clear"/>
        <w:spacing w:after="240" w:before="24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By using the Teaching Materials, you are accepting these Terms.  These Terms constitute a valid and binding agreement between Maiya and you. If you have any questions about these Terms, please send an e-mail to Jenn Friedman.</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ffffff" w:val="clear"/>
        <w:spacing w:after="240" w:before="24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IF YOU DO NOT ACCEPT THESE TERMS, MAIYA WILL NOT GRANT YOU ANY LICENSE OR USE RIGHTS HEREUNDER.  YOU MUST RETURN THE TEACHING MATERIALS TO MAIYA IMMEDIATELY.</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ffffff" w:val="clear"/>
        <w:spacing w:after="240" w:before="24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SCOPE OF USE</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You may use the Teaching Materials in a no-fee classroom or educational setting only as part of the approved program, provided you follow the program guidelines provided herein and otherwise by Maiya.  Any use of the Teaching Materials in a fee-based classroom or educational setting requires a license from Maiya.  You may purchase such a license by contacting Jenn Friedman.  </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ffffff" w:val="clear"/>
        <w:spacing w:after="240" w:before="24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2.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COMPENSATION</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You acknowledge and agree that you will not receive any financial compensation for your participation in the program.  You further acknowledge and agree to permit MFI to list your school’s name in the “Acknowledgements” section of the future versions of the MFI Teaching Materials in exchange for your participation in the program.</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ffffff" w:val="clear"/>
        <w:spacing w:after="240" w:before="24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3.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OWNERSHIP AND INTELLECTUAL PROPERTY</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Any and all materials, films and books Maiya furnishes to you are the sole property of Maiya and are protected to the fullest extent possible by copyright, trademark and other intellectual property laws. You are strictly prohibited from reproducing, retransmitting, distributing, publishing, commercially exploiting, or otherwise transferring any such materials in any format or medium whatsoever without written permission from MFI. </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ffffff" w:val="clear"/>
        <w:spacing w:after="240" w:before="24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4.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COMPLIANCE WITH LAW</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Any use of the Teaching Materials must be lawful and you expressly agree to avoid any use that is potentially or actually unlawful, harassing, libelous, abusive, threatening, harmful, or otherwise objectionable, or that encourages conduct that could constitute a criminal offense, give rise to civil liability or otherwise violate any applicable local, state, national or international law, regulation or judicial ruling.</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ffffff" w:val="clear"/>
        <w:spacing w:after="240" w:before="24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5.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DISCLAIMER OF WARRANTIES AND LIMITATION OF LIABILITY</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ALL SERVICES, MATERIALS AND BOOKS PROVIDED BY MFI ARE PROVIDED TO YOU "AS IS," "WITH ALL FAULTS," AND "AS AVAILABLE" BASIS. MFI DOES NOT MAKE, AND EXPRESSLY DISCLAIMS, ANY AND ALL WARRANTIES, EXPRESS OR IMPLIED, IN REGARD TO ANY INFORMATION, PRODUCT, OR SERVICE FURNISHED BY IT UNDER THESE TERMS, INCLUDING WITHOUT LIMITATION ANY AND ALL IMPLIED WARRANTIES OF MERCHANTABILITY OR FITNESS FOR A PARTICULAR PURPOSE. MFI DOES NOT GUARANTEE THAT THE MATERIALS, INFORMATION OR SERVICES PROVIDED BY MFI WILL BE ERROR-FREE, OR CONTINUOUSLY AVAILABLE, OR COMPLIANT WITH ANY EDUCATIONAL OR ACADEMIC RULES, REGULATIONS, OR LAW IN ANY JURISDICTION. </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ffffff" w:val="clear"/>
        <w:spacing w:after="240" w:before="24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MAIYA EXPRESSLY DISCLAIMS ANY AND ALL DIRECT, INDIRECT, INCIDENTAL, CONSEQUENTIAL, SPECIAL, OR PUNITIVE DAMAGES IN ANY EVENT EVEN IF ADVISED BEFOREHAND OF SUCH DAMAGES. TO THE GREATEST EXTENT PERMISSIBLE UNDER APPLICABLE LAW, MAIYA’s LIABILITY FOR ANY LOSS, CLAIM, DAMAGE OR LIABILITY OF ANY KIND INCLUDING THAT, WHICH MAY BE DUE TO MFI’s ACTUAL OR ALLEGED NEGLIGENCE, SHALL NOT EXCEED THE AMOUNT YOU PAID FOR THE USE OF THE TEACHING MATERIALS.</w:t>
      </w:r>
      <w:r w:rsidDel="00000000" w:rsidR="00000000" w:rsidRPr="00000000">
        <w:rPr>
          <w:rFonts w:ascii="Century Gothic" w:cs="Century Gothic" w:eastAsia="Century Gothic" w:hAnsi="Century Gothic"/>
          <w:b w:val="0"/>
          <w:i w:val="0"/>
          <w:smallCaps w:val="0"/>
          <w:strike w:val="0"/>
          <w:color w:val="222222"/>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ffffff" w:val="clear"/>
        <w:spacing w:after="240" w:before="24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6.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HOLD HARMLESS AND INDEMNIFICATION</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By using the Teaching Materials provided by Maiya, you agree to indemnify and hold Maiya Project and its respective parents, subsidiaries, affiliates and agents, and each of their respective officers, directors, employees and third party providers harmless, including but not limited to reasonable attorneys' fees, from and against any claim or demand made by any third party due to or arising out of your use of the Teaching Materials, including but not limited to violation of these Terms or the infringement of any intellectual property or other right of any person or entity.  If you choose not to follow the recommended guidelines relating to the Teaching Materials, you do so at your own risk. </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ffffff" w:val="clear"/>
        <w:spacing w:after="240" w:before="24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7.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GOVERNING LAW.</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If there is any dispute arising out of these Terms, you expressly agree that any such dispute shall be governed by the laws of the State of New York and the federal laws of the United States of America, without regard to its conflict of law provisions and excluding that body of law known as conflicts of law and the United Nations Convention on Contracts for the Sale of Goods. You expressly agree to submit to the exclusive jurisdiction of the New York courts. </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ffffff" w:val="clear"/>
        <w:spacing w:after="240" w:before="24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8.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NO PARTNERSHIP</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Nothing herein shall be construed to create an agency, partnership, joint venture, employee-employer or franchiser-franchisee. </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ffffff" w:val="clear"/>
        <w:spacing w:after="240" w:before="24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9.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SEVERABILITY</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If any provision of these Terms or the application thereof to any person or circumstance shall be invalid or unenforceable to any extent, the remainder of these Terms and the application of such provisions to other persons or circumstances shall not be affected thereby and shall be enforced to the greatest extent permitted by law.</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ffffff" w:val="clear"/>
        <w:spacing w:after="240" w:before="24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10.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ENTIRE AGREEMENT</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It is hereby acknowledged that these Terms constitutes the entire agreement between the parties pertaining to the subject matter hereof, and supersedes in their entirety any and all written or oral agreements previously existing or contemporaneously made between the parties with respect to such subject matter. </w:t>
      </w:r>
    </w:p>
    <w:p w:rsidR="00000000" w:rsidDel="00000000" w:rsidP="00000000" w:rsidRDefault="00000000" w:rsidRPr="00000000" w14:paraId="00000053">
      <w:pPr>
        <w:rPr>
          <w:rFonts w:ascii="Milonga" w:cs="Milonga" w:eastAsia="Milonga" w:hAnsi="Milonga"/>
          <w:color w:val="333333"/>
          <w:sz w:val="40"/>
          <w:szCs w:val="40"/>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54">
      <w:pPr>
        <w:pBdr>
          <w:bottom w:color="000000" w:space="1" w:sz="4" w:val="single"/>
        </w:pBdr>
        <w:shd w:fill="ffffff" w:val="clear"/>
        <w:spacing w:after="150" w:lineRule="auto"/>
        <w:jc w:val="both"/>
        <w:rPr>
          <w:rFonts w:ascii="Milonga" w:cs="Milonga" w:eastAsia="Milonga" w:hAnsi="Milonga"/>
          <w:b w:val="1"/>
          <w:color w:val="333333"/>
          <w:sz w:val="28"/>
          <w:szCs w:val="28"/>
          <w:highlight w:val="white"/>
        </w:rPr>
      </w:pPr>
      <w:r w:rsidDel="00000000" w:rsidR="00000000" w:rsidRPr="00000000">
        <w:rPr>
          <w:rFonts w:ascii="Milonga" w:cs="Milonga" w:eastAsia="Milonga" w:hAnsi="Milonga"/>
          <w:b w:val="1"/>
          <w:color w:val="333333"/>
          <w:sz w:val="28"/>
          <w:szCs w:val="28"/>
          <w:highlight w:val="white"/>
          <w:rtl w:val="0"/>
        </w:rPr>
        <w:t xml:space="preserve">Disordered Eating Prevention Fact Sheet</w:t>
      </w:r>
    </w:p>
    <w:p w:rsidR="00000000" w:rsidDel="00000000" w:rsidP="00000000" w:rsidRDefault="00000000" w:rsidRPr="00000000" w14:paraId="00000055">
      <w:pPr>
        <w:shd w:fill="ffffff" w:val="clear"/>
        <w:spacing w:after="150" w:lineRule="auto"/>
        <w:jc w:val="both"/>
        <w:rPr>
          <w:rFonts w:ascii="Milonga" w:cs="Milonga" w:eastAsia="Milonga" w:hAnsi="Milonga"/>
          <w:i w:val="1"/>
          <w:color w:val="333333"/>
          <w:sz w:val="20"/>
          <w:szCs w:val="20"/>
        </w:rPr>
      </w:pPr>
      <w:r w:rsidDel="00000000" w:rsidR="00000000" w:rsidRPr="00000000">
        <w:rPr>
          <w:rFonts w:ascii="Milonga" w:cs="Milonga" w:eastAsia="Milonga" w:hAnsi="Milonga"/>
          <w:i w:val="1"/>
          <w:color w:val="333333"/>
          <w:sz w:val="20"/>
          <w:szCs w:val="20"/>
          <w:highlight w:val="white"/>
          <w:rtl w:val="0"/>
        </w:rPr>
        <w:t xml:space="preserve">(Source: National Institute of Mental Health, unless otherwise noted) REV 2016</w:t>
      </w:r>
      <w:r w:rsidDel="00000000" w:rsidR="00000000" w:rsidRPr="00000000">
        <w:rPr>
          <w:rtl w:val="0"/>
        </w:rPr>
      </w:r>
    </w:p>
    <w:p w:rsidR="00000000" w:rsidDel="00000000" w:rsidP="00000000" w:rsidRDefault="00000000" w:rsidRPr="00000000" w14:paraId="00000056">
      <w:pPr>
        <w:pBdr>
          <w:bottom w:color="000000" w:space="1" w:sz="4" w:val="single"/>
        </w:pBdr>
        <w:shd w:fill="ffffff" w:val="clear"/>
        <w:spacing w:after="150" w:lineRule="auto"/>
        <w:jc w:val="both"/>
        <w:rPr>
          <w:rFonts w:ascii="Milonga" w:cs="Milonga" w:eastAsia="Milonga" w:hAnsi="Milonga"/>
          <w:b w:val="1"/>
          <w:i w:val="1"/>
          <w:color w:val="333333"/>
          <w:highlight w:val="white"/>
        </w:rPr>
      </w:pPr>
      <w:r w:rsidDel="00000000" w:rsidR="00000000" w:rsidRPr="00000000">
        <w:rPr>
          <w:rFonts w:ascii="Milonga" w:cs="Milonga" w:eastAsia="Milonga" w:hAnsi="Milonga"/>
          <w:b w:val="1"/>
          <w:i w:val="1"/>
          <w:color w:val="333333"/>
          <w:highlight w:val="white"/>
          <w:rtl w:val="0"/>
        </w:rPr>
        <w:t xml:space="preserve">Primary Prevention</w:t>
      </w:r>
    </w:p>
    <w:p w:rsidR="00000000" w:rsidDel="00000000" w:rsidP="00000000" w:rsidRDefault="00000000" w:rsidRPr="00000000" w14:paraId="00000057">
      <w:pPr>
        <w:pBdr>
          <w:bottom w:color="000000" w:space="1" w:sz="4" w:val="single"/>
        </w:pBdr>
        <w:shd w:fill="ffffff" w:val="clear"/>
        <w:spacing w:after="150" w:lineRule="auto"/>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“Universal prevention efforts target whole communities (e.g. national, local, community, district) and aim to promote general health and well-being, foster resilience, and reduce the risk of eating disorders amongst non-symptomatic populations.</w:t>
      </w:r>
    </w:p>
    <w:p w:rsidR="00000000" w:rsidDel="00000000" w:rsidP="00000000" w:rsidRDefault="00000000" w:rsidRPr="00000000" w14:paraId="00000058">
      <w:pPr>
        <w:pBdr>
          <w:bottom w:color="000000" w:space="1" w:sz="4" w:val="single"/>
        </w:pBdr>
        <w:shd w:fill="ffffff" w:val="clear"/>
        <w:spacing w:after="150" w:lineRule="auto"/>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In the short-term, universal prevention programs may increase resilience and decrease risk factors. In the long-term, it is expected that those changes will lead to fewer eating problems and fewer cases of eating disorders in society. While the aims of all these interventions can vary slightly, they do share common goals that are focused on enhancing the prevention of eating disorders in general” (“Preventing eating disorders,” 2015).</w:t>
      </w:r>
    </w:p>
    <w:p w:rsidR="00000000" w:rsidDel="00000000" w:rsidP="00000000" w:rsidRDefault="00000000" w:rsidRPr="00000000" w14:paraId="00000059">
      <w:pPr>
        <w:pBdr>
          <w:bottom w:color="000000" w:space="1" w:sz="4" w:val="single"/>
        </w:pBdr>
        <w:shd w:fill="ffffff" w:val="clear"/>
        <w:spacing w:after="150" w:lineRule="auto"/>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These goals include:</w:t>
      </w:r>
    </w:p>
    <w:p w:rsidR="00000000" w:rsidDel="00000000" w:rsidP="00000000" w:rsidRDefault="00000000" w:rsidRPr="00000000" w14:paraId="0000005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Improving general health, nutrition, and psychological well-being, such as increasing mindfulness/stress-management skills, social-emotional skills, and positive body image</w:t>
      </w:r>
    </w:p>
    <w:p w:rsidR="00000000" w:rsidDel="00000000" w:rsidP="00000000" w:rsidRDefault="00000000" w:rsidRPr="00000000" w14:paraId="0000005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Enhancing media literacy, which provides education on the media’s promotion of unrealistic standards of “beauty,” so that people may learn to critically analyze media messages and thus reduce the risk of developing eating disorders</w:t>
      </w:r>
    </w:p>
    <w:p w:rsidR="00000000" w:rsidDel="00000000" w:rsidP="00000000" w:rsidRDefault="00000000" w:rsidRPr="00000000" w14:paraId="0000005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Building community connections and reducing violence / bullying, including weight-based teasing</w:t>
      </w:r>
    </w:p>
    <w:p w:rsidR="00000000" w:rsidDel="00000000" w:rsidP="00000000" w:rsidRDefault="00000000" w:rsidRPr="00000000" w14:paraId="0000005D">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60" w:before="0" w:line="276"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Overweight during middle childhood increases risk of early adolescence internalizing symptoms. Peer victimization and body dissatisfaction are partly responsible for this link (Pryor et al., 2016).</w:t>
      </w:r>
    </w:p>
    <w:p w:rsidR="00000000" w:rsidDel="00000000" w:rsidP="00000000" w:rsidRDefault="00000000" w:rsidRPr="00000000" w14:paraId="0000005E">
      <w:pPr>
        <w:pBdr>
          <w:bottom w:color="000000" w:space="1" w:sz="4" w:val="single"/>
        </w:pBdr>
        <w:shd w:fill="ffffff" w:val="clear"/>
        <w:spacing w:after="150" w:lineRule="auto"/>
        <w:jc w:val="both"/>
        <w:rPr>
          <w:rFonts w:ascii="Milonga" w:cs="Milonga" w:eastAsia="Milonga" w:hAnsi="Milonga"/>
          <w:b w:val="1"/>
          <w:i w:val="1"/>
          <w:color w:val="333333"/>
          <w:highlight w:val="white"/>
        </w:rPr>
      </w:pPr>
      <w:r w:rsidDel="00000000" w:rsidR="00000000" w:rsidRPr="00000000">
        <w:rPr>
          <w:rFonts w:ascii="Milonga" w:cs="Milonga" w:eastAsia="Milonga" w:hAnsi="Milonga"/>
          <w:b w:val="1"/>
          <w:i w:val="1"/>
          <w:color w:val="333333"/>
          <w:highlight w:val="white"/>
          <w:rtl w:val="0"/>
        </w:rPr>
        <w:t xml:space="preserve">Secondary Prevention</w:t>
      </w:r>
    </w:p>
    <w:p w:rsidR="00000000" w:rsidDel="00000000" w:rsidP="00000000" w:rsidRDefault="00000000" w:rsidRPr="00000000" w14:paraId="0000005F">
      <w:pPr>
        <w:pBdr>
          <w:bottom w:color="000000" w:space="1" w:sz="4" w:val="single"/>
        </w:pBdr>
        <w:shd w:fill="ffffff" w:val="clear"/>
        <w:spacing w:after="150" w:lineRule="auto"/>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“Secondary prevention interventions aim to lower the severity and duration of an eating disorder in a person who already has the illness. There is considerable overlap between indicated prevention and secondary prevention, with both methods sharing various aims and targeting similar groups.</w:t>
      </w:r>
    </w:p>
    <w:p w:rsidR="00000000" w:rsidDel="00000000" w:rsidP="00000000" w:rsidRDefault="00000000" w:rsidRPr="00000000" w14:paraId="00000060">
      <w:pPr>
        <w:pBdr>
          <w:bottom w:color="000000" w:space="1" w:sz="4" w:val="single"/>
        </w:pBdr>
        <w:shd w:fill="ffffff" w:val="clear"/>
        <w:spacing w:after="150" w:lineRule="auto"/>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Secondary prevention is achieved through early intervention, including early detection and early treatment. These interventions can occur at any stage of life, from childhood to older age. The distinguishing feature of secondary prevention is that intervention occurs once the eating disorder has commenced.</w:t>
      </w:r>
    </w:p>
    <w:p w:rsidR="00000000" w:rsidDel="00000000" w:rsidP="00000000" w:rsidRDefault="00000000" w:rsidRPr="00000000" w14:paraId="00000061">
      <w:pPr>
        <w:pBdr>
          <w:bottom w:color="000000" w:space="1" w:sz="4" w:val="single"/>
        </w:pBdr>
        <w:shd w:fill="ffffff" w:val="clear"/>
        <w:spacing w:after="150" w:lineRule="auto"/>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At this stage of an eating disorder, secondary interventions emphasize that eating disorders are highly treatable, very common, and a normal progression from disordered eating behavior. These attempts to normalize the person’s behaviors are intended to encourage a person in the early stage of an eating disorder to seek help” (“Preventing eating disorders,” 2015).</w:t>
      </w:r>
    </w:p>
    <w:p w:rsidR="00000000" w:rsidDel="00000000" w:rsidP="00000000" w:rsidRDefault="00000000" w:rsidRPr="00000000" w14:paraId="00000062">
      <w:pPr>
        <w:pBdr>
          <w:bottom w:color="000000" w:space="1" w:sz="4" w:val="single"/>
        </w:pBdr>
        <w:shd w:fill="ffffff" w:val="clear"/>
        <w:spacing w:after="150" w:lineRule="auto"/>
        <w:jc w:val="both"/>
        <w:rPr>
          <w:rFonts w:ascii="Milonga" w:cs="Milonga" w:eastAsia="Milonga" w:hAnsi="Milonga"/>
          <w:b w:val="1"/>
          <w:i w:val="1"/>
          <w:color w:val="333333"/>
          <w:highlight w:val="white"/>
        </w:rPr>
      </w:pPr>
      <w:r w:rsidDel="00000000" w:rsidR="00000000" w:rsidRPr="00000000">
        <w:rPr>
          <w:rFonts w:ascii="Milonga" w:cs="Milonga" w:eastAsia="Milonga" w:hAnsi="Milonga"/>
          <w:b w:val="1"/>
          <w:i w:val="1"/>
          <w:color w:val="333333"/>
          <w:highlight w:val="white"/>
          <w:rtl w:val="0"/>
        </w:rPr>
        <w:t xml:space="preserve">Tertiary Prevention</w:t>
      </w:r>
    </w:p>
    <w:p w:rsidR="00000000" w:rsidDel="00000000" w:rsidP="00000000" w:rsidRDefault="00000000" w:rsidRPr="00000000" w14:paraId="00000063">
      <w:pPr>
        <w:pBdr>
          <w:bottom w:color="000000" w:space="1" w:sz="4" w:val="single"/>
        </w:pBdr>
        <w:shd w:fill="ffffff" w:val="clear"/>
        <w:spacing w:after="150" w:lineRule="auto"/>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“Tertiary prevention aims to reduce the impact of an eating disorder on a person’s life through approaches such as rehabilitation and relapse prevention. It also includes actions to ensure people have access to support within the community, such as being employed and maintaining social interactions. Tertiary prevention is utilized in regards to those who have been experiencing an eating disorder for some time” (“Preventing eating disorders,” 2015).</w:t>
      </w:r>
    </w:p>
    <w:p w:rsidR="00000000" w:rsidDel="00000000" w:rsidP="00000000" w:rsidRDefault="00000000" w:rsidRPr="00000000" w14:paraId="00000064">
      <w:pPr>
        <w:pBdr>
          <w:bottom w:color="000000" w:space="1" w:sz="4" w:val="single"/>
        </w:pBdr>
        <w:shd w:fill="ffffff" w:val="clear"/>
        <w:spacing w:after="150" w:lineRule="auto"/>
        <w:jc w:val="both"/>
        <w:rPr>
          <w:rFonts w:ascii="Milonga" w:cs="Milonga" w:eastAsia="Milonga" w:hAnsi="Milonga"/>
          <w:b w:val="1"/>
          <w:i w:val="1"/>
          <w:color w:val="333333"/>
          <w:highlight w:val="white"/>
        </w:rPr>
      </w:pPr>
      <w:r w:rsidDel="00000000" w:rsidR="00000000" w:rsidRPr="00000000">
        <w:rPr>
          <w:rFonts w:ascii="Milonga" w:cs="Milonga" w:eastAsia="Milonga" w:hAnsi="Milonga"/>
          <w:b w:val="1"/>
          <w:i w:val="1"/>
          <w:color w:val="333333"/>
          <w:highlight w:val="white"/>
          <w:rtl w:val="0"/>
        </w:rPr>
        <w:t xml:space="preserve">Why and How Prevention Works</w:t>
      </w:r>
    </w:p>
    <w:p w:rsidR="00000000" w:rsidDel="00000000" w:rsidP="00000000" w:rsidRDefault="00000000" w:rsidRPr="00000000" w14:paraId="00000065">
      <w:pPr>
        <w:pBdr>
          <w:bottom w:color="000000" w:space="1" w:sz="4" w:val="single"/>
        </w:pBdr>
        <w:shd w:fill="ffffff" w:val="clear"/>
        <w:spacing w:after="150" w:lineRule="auto"/>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“It is likely that, in general, effective [eating disorder] prevention programs work by reducing key proximal risk factors such as internalization of the slender beauty ideal, body dissatisfaction, and negative emotionality. (Levine, 2015).</w:t>
      </w:r>
    </w:p>
    <w:p w:rsidR="00000000" w:rsidDel="00000000" w:rsidP="00000000" w:rsidRDefault="00000000" w:rsidRPr="00000000" w14:paraId="00000066">
      <w:pPr>
        <w:rPr>
          <w:rFonts w:ascii="Milonga" w:cs="Milonga" w:eastAsia="Milonga" w:hAnsi="Milonga"/>
          <w:b w:val="1"/>
          <w:i w:val="1"/>
        </w:rPr>
      </w:pPr>
      <w:r w:rsidDel="00000000" w:rsidR="00000000" w:rsidRPr="00000000">
        <w:rPr>
          <w:rFonts w:ascii="Milonga" w:cs="Milonga" w:eastAsia="Milonga" w:hAnsi="Milonga"/>
          <w:b w:val="1"/>
          <w:i w:val="1"/>
          <w:rtl w:val="0"/>
        </w:rPr>
        <w:t xml:space="preserve">Risk Factors</w:t>
      </w:r>
    </w:p>
    <w:p w:rsidR="00000000" w:rsidDel="00000000" w:rsidP="00000000" w:rsidRDefault="00000000" w:rsidRPr="00000000" w14:paraId="00000067">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factors that contribute to the onset of an eating disorder are complex. No single cause of eating disorders has been identified; however, known contributing risk factors include:</w:t>
      </w:r>
    </w:p>
    <w:p w:rsidR="00000000" w:rsidDel="00000000" w:rsidP="00000000" w:rsidRDefault="00000000" w:rsidRPr="00000000" w14:paraId="0000006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1"/>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2"/>
          <w:szCs w:val="22"/>
          <w:u w:val="none"/>
          <w:shd w:fill="auto" w:val="clear"/>
          <w:vertAlign w:val="baseline"/>
          <w:rtl w:val="0"/>
        </w:rPr>
        <w:t xml:space="preserve">Genetic vulnerability</w:t>
      </w:r>
    </w:p>
    <w:p w:rsidR="00000000" w:rsidDel="00000000" w:rsidP="00000000" w:rsidRDefault="00000000" w:rsidRPr="00000000" w14:paraId="00000069">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genes that are most implicated in passing on eating disorders are within biological systems that relate to food intake, appetite, metabolism, mood, and reward-pleasure responses. It has been shown that this genetic influence is not simply due to the inheritance of any one gene but results from a much more complicated interaction between many genes and quite possibly non-inherited genetic factors as well” (“Eating disorders risk factors,” 2015).</w:t>
      </w:r>
    </w:p>
    <w:p w:rsidR="00000000" w:rsidDel="00000000" w:rsidP="00000000" w:rsidRDefault="00000000" w:rsidRPr="00000000" w14:paraId="0000006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1"/>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2"/>
          <w:szCs w:val="22"/>
          <w:u w:val="none"/>
          <w:shd w:fill="auto" w:val="clear"/>
          <w:vertAlign w:val="baseline"/>
          <w:rtl w:val="0"/>
        </w:rPr>
        <w:t xml:space="preserve">Psychological factors</w:t>
      </w:r>
    </w:p>
    <w:p w:rsidR="00000000" w:rsidDel="00000000" w:rsidP="00000000" w:rsidRDefault="00000000" w:rsidRPr="00000000" w14:paraId="0000006B">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“Research into Anorexia Nervosa and Bulimia Nervosa specifically, has identified a number of personality traits that may be present before, during, and after recovery from an eating disorder. These include:</w:t>
      </w:r>
    </w:p>
    <w:p w:rsidR="00000000" w:rsidDel="00000000" w:rsidP="00000000" w:rsidRDefault="00000000" w:rsidRPr="00000000" w14:paraId="0000006C">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Perfectionism</w:t>
      </w:r>
    </w:p>
    <w:p w:rsidR="00000000" w:rsidDel="00000000" w:rsidP="00000000" w:rsidRDefault="00000000" w:rsidRPr="00000000" w14:paraId="0000006D">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Obsessive-compulsiveness</w:t>
      </w:r>
    </w:p>
    <w:p w:rsidR="00000000" w:rsidDel="00000000" w:rsidP="00000000" w:rsidRDefault="00000000" w:rsidRPr="00000000" w14:paraId="0000006E">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Neuroticism</w:t>
      </w:r>
    </w:p>
    <w:p w:rsidR="00000000" w:rsidDel="00000000" w:rsidP="00000000" w:rsidRDefault="00000000" w:rsidRPr="00000000" w14:paraId="0000006F">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Negative emotionality</w:t>
      </w:r>
    </w:p>
    <w:p w:rsidR="00000000" w:rsidDel="00000000" w:rsidP="00000000" w:rsidRDefault="00000000" w:rsidRPr="00000000" w14:paraId="00000070">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Body dissatisfaction</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Poor body image can contribute to impaired mental and physical health, lower social functionality, and poor lifestyle choices. Body dissatisfaction, the experience of feelings of shame, sadness or anger associated with the body, can lead to extreme weight control behaviors and is a leading risk factor for the development of eating disorders.</w:t>
      </w:r>
    </w:p>
    <w:p w:rsidR="00000000" w:rsidDel="00000000" w:rsidP="00000000" w:rsidRDefault="00000000" w:rsidRPr="00000000" w14:paraId="00000071">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Core low self-esteem traits</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Low self-esteem has been identified by many research studies as a general risk factor for the development of eating disorders. Strong self-esteem has been described as essential for psychological well-being and for building resilience” (“Eating disorders risk factors,” 2015).</w:t>
      </w:r>
    </w:p>
    <w:p w:rsidR="00000000" w:rsidDel="00000000" w:rsidP="00000000" w:rsidRDefault="00000000" w:rsidRPr="00000000" w14:paraId="00000072">
      <w:pPr>
        <w:keepNext w:val="1"/>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1"/>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2"/>
          <w:szCs w:val="22"/>
          <w:u w:val="none"/>
          <w:shd w:fill="auto" w:val="clear"/>
          <w:vertAlign w:val="baseline"/>
          <w:rtl w:val="0"/>
        </w:rPr>
        <w:t xml:space="preserve">Socio-cultural influences</w:t>
      </w:r>
    </w:p>
    <w:p w:rsidR="00000000" w:rsidDel="00000000" w:rsidP="00000000" w:rsidRDefault="00000000" w:rsidRPr="00000000" w14:paraId="00000073">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160" w:before="0" w:line="276"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“Evidence shows that socio-cultural influences play a role in the development of eating disorders, particularly among people who internalize the Western beauty ideal of thinness. (“Eating disorders risk factors,” 2015).</w:t>
      </w:r>
    </w:p>
    <w:p w:rsidR="00000000" w:rsidDel="00000000" w:rsidP="00000000" w:rsidRDefault="00000000" w:rsidRPr="00000000" w14:paraId="00000074">
      <w:pPr>
        <w:pBdr>
          <w:bottom w:color="000000" w:space="1" w:sz="4" w:val="single"/>
        </w:pBdr>
        <w:shd w:fill="ffffff" w:val="clear"/>
        <w:ind w:left="360" w:firstLine="0"/>
        <w:jc w:val="both"/>
        <w:rPr>
          <w:rFonts w:ascii="Milonga" w:cs="Milonga" w:eastAsia="Milonga" w:hAnsi="Milonga"/>
          <w:b w:val="1"/>
          <w:color w:val="333333"/>
          <w:sz w:val="28"/>
          <w:szCs w:val="28"/>
          <w:highlight w:val="white"/>
        </w:rPr>
      </w:pPr>
      <w:r w:rsidDel="00000000" w:rsidR="00000000" w:rsidRPr="00000000">
        <w:rPr>
          <w:rFonts w:ascii="Milonga" w:cs="Milonga" w:eastAsia="Milonga" w:hAnsi="Milonga"/>
          <w:b w:val="1"/>
          <w:color w:val="333333"/>
          <w:sz w:val="28"/>
          <w:szCs w:val="28"/>
          <w:highlight w:val="white"/>
          <w:rtl w:val="0"/>
        </w:rPr>
        <w:t xml:space="preserve">Guidelines for Leading “Maiya” Screenings</w:t>
      </w:r>
    </w:p>
    <w:p w:rsidR="00000000" w:rsidDel="00000000" w:rsidP="00000000" w:rsidRDefault="00000000" w:rsidRPr="00000000" w14:paraId="00000075">
      <w:pPr>
        <w:pBdr>
          <w:bottom w:color="000000" w:space="1" w:sz="4" w:val="single"/>
        </w:pBdr>
        <w:shd w:fill="ffffff" w:val="clear"/>
        <w:ind w:left="360" w:firstLine="0"/>
        <w:jc w:val="both"/>
        <w:rPr>
          <w:rFonts w:ascii="Century Gothic" w:cs="Century Gothic" w:eastAsia="Century Gothic" w:hAnsi="Century Gothic"/>
          <w:b w:val="1"/>
          <w:color w:val="333333"/>
          <w:highlight w:val="white"/>
        </w:rPr>
      </w:pPr>
      <w:r w:rsidDel="00000000" w:rsidR="00000000" w:rsidRPr="00000000">
        <w:rPr>
          <w:rFonts w:ascii="Century Gothic" w:cs="Century Gothic" w:eastAsia="Century Gothic" w:hAnsi="Century Gothic"/>
          <w:b w:val="1"/>
          <w:color w:val="333333"/>
          <w:highlight w:val="white"/>
          <w:rtl w:val="0"/>
        </w:rPr>
        <w:t xml:space="preserve">Pre-Seminar / Training:</w:t>
      </w:r>
    </w:p>
    <w:p w:rsidR="00000000" w:rsidDel="00000000" w:rsidP="00000000" w:rsidRDefault="00000000" w:rsidRPr="00000000" w14:paraId="00000076">
      <w:pPr>
        <w:pBdr>
          <w:bottom w:color="000000" w:space="1" w:sz="4" w:val="single"/>
        </w:pBdr>
        <w:shd w:fill="ffffff" w:val="clear"/>
        <w:ind w:left="360" w:firstLine="0"/>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1. Arrange for a 60-­</w:t>
      </w:r>
      <w:r w:rsidDel="00000000" w:rsidR="00000000" w:rsidRPr="00000000">
        <w:rPr>
          <w:rFonts w:ascii="Open Sans SemiBold" w:cs="Open Sans SemiBold" w:eastAsia="Open Sans SemiBold" w:hAnsi="Open Sans SemiBold"/>
          <w:color w:val="333333"/>
          <w:highlight w:val="white"/>
          <w:rtl w:val="0"/>
        </w:rPr>
        <w:t xml:space="preserve">‐</w:t>
      </w:r>
      <w:r w:rsidDel="00000000" w:rsidR="00000000" w:rsidRPr="00000000">
        <w:rPr>
          <w:rFonts w:ascii="Century Gothic" w:cs="Century Gothic" w:eastAsia="Century Gothic" w:hAnsi="Century Gothic"/>
          <w:color w:val="333333"/>
          <w:highlight w:val="white"/>
          <w:rtl w:val="0"/>
        </w:rPr>
        <w:t xml:space="preserve">75 minute training for school administrators, educators and staff.</w:t>
      </w:r>
    </w:p>
    <w:p w:rsidR="00000000" w:rsidDel="00000000" w:rsidP="00000000" w:rsidRDefault="00000000" w:rsidRPr="00000000" w14:paraId="00000077">
      <w:pPr>
        <w:pBdr>
          <w:bottom w:color="000000" w:space="1" w:sz="4" w:val="single"/>
        </w:pBdr>
        <w:shd w:fill="ffffff" w:val="clear"/>
        <w:ind w:left="360" w:firstLine="0"/>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2. Arrange to have AT LEAST one EATING DISORDER SPECIALIST present for the Q&amp;A discussions. You can search for CEDS (Certified Eating Disorders Specialists in your area through the iaedp website (International Association for Eating Disorders Professionals).</w:t>
      </w:r>
    </w:p>
    <w:p w:rsidR="00000000" w:rsidDel="00000000" w:rsidP="00000000" w:rsidRDefault="00000000" w:rsidRPr="00000000" w14:paraId="00000078">
      <w:pPr>
        <w:pBdr>
          <w:bottom w:color="000000" w:space="1" w:sz="4" w:val="single"/>
        </w:pBdr>
        <w:shd w:fill="ffffff" w:val="clear"/>
        <w:ind w:left="360" w:firstLine="0"/>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3. Jenn Friedman will provide you with an electronic copy of the film as well as electronic copies of handouts, as applicable. </w:t>
      </w:r>
    </w:p>
    <w:p w:rsidR="00000000" w:rsidDel="00000000" w:rsidP="00000000" w:rsidRDefault="00000000" w:rsidRPr="00000000" w14:paraId="00000079">
      <w:pPr>
        <w:pBdr>
          <w:bottom w:color="000000" w:space="1" w:sz="4" w:val="single"/>
        </w:pBdr>
        <w:shd w:fill="ffffff" w:val="clear"/>
        <w:ind w:left="360" w:firstLine="0"/>
        <w:jc w:val="both"/>
        <w:rPr>
          <w:rFonts w:ascii="Century Gothic" w:cs="Century Gothic" w:eastAsia="Century Gothic" w:hAnsi="Century Gothic"/>
          <w:b w:val="1"/>
          <w:color w:val="333333"/>
          <w:highlight w:val="white"/>
        </w:rPr>
      </w:pPr>
      <w:r w:rsidDel="00000000" w:rsidR="00000000" w:rsidRPr="00000000">
        <w:rPr>
          <w:rFonts w:ascii="Century Gothic" w:cs="Century Gothic" w:eastAsia="Century Gothic" w:hAnsi="Century Gothic"/>
          <w:b w:val="1"/>
          <w:color w:val="333333"/>
          <w:highlight w:val="white"/>
          <w:rtl w:val="0"/>
        </w:rPr>
        <w:t xml:space="preserve">At Seminar / Training:</w:t>
      </w:r>
    </w:p>
    <w:p w:rsidR="00000000" w:rsidDel="00000000" w:rsidP="00000000" w:rsidRDefault="00000000" w:rsidRPr="00000000" w14:paraId="0000007A">
      <w:pPr>
        <w:pBdr>
          <w:bottom w:color="000000" w:space="1" w:sz="4" w:val="single"/>
        </w:pBdr>
        <w:shd w:fill="ffffff" w:val="clear"/>
        <w:ind w:left="360" w:firstLine="0"/>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1. After screening the film, please distribute the Myth Buster Sheet and Resources from this handout packet and invite the CEDS panelists to join the Q&amp;A discussion</w:t>
      </w:r>
    </w:p>
    <w:p w:rsidR="00000000" w:rsidDel="00000000" w:rsidP="00000000" w:rsidRDefault="00000000" w:rsidRPr="00000000" w14:paraId="0000007B">
      <w:pPr>
        <w:pBdr>
          <w:bottom w:color="000000" w:space="1" w:sz="4" w:val="single"/>
        </w:pBdr>
        <w:shd w:fill="ffffff" w:val="clear"/>
        <w:ind w:left="360" w:firstLine="0"/>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2. Follow the Q&amp;A guidelines below.</w:t>
      </w:r>
    </w:p>
    <w:p w:rsidR="00000000" w:rsidDel="00000000" w:rsidP="00000000" w:rsidRDefault="00000000" w:rsidRPr="00000000" w14:paraId="0000007C">
      <w:pPr>
        <w:pBdr>
          <w:bottom w:color="000000" w:space="1" w:sz="4" w:val="single"/>
        </w:pBdr>
        <w:shd w:fill="ffffff" w:val="clear"/>
        <w:ind w:left="360" w:firstLine="0"/>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3. After Q&amp;A, please distribute the post-­</w:t>
      </w:r>
      <w:r w:rsidDel="00000000" w:rsidR="00000000" w:rsidRPr="00000000">
        <w:rPr>
          <w:rFonts w:ascii="Open Sans SemiBold" w:cs="Open Sans SemiBold" w:eastAsia="Open Sans SemiBold" w:hAnsi="Open Sans SemiBold"/>
          <w:color w:val="333333"/>
          <w:highlight w:val="white"/>
          <w:rtl w:val="0"/>
        </w:rPr>
        <w:t xml:space="preserve">‐</w:t>
      </w:r>
      <w:r w:rsidDel="00000000" w:rsidR="00000000" w:rsidRPr="00000000">
        <w:rPr>
          <w:rFonts w:ascii="Century Gothic" w:cs="Century Gothic" w:eastAsia="Century Gothic" w:hAnsi="Century Gothic"/>
          <w:color w:val="333333"/>
          <w:highlight w:val="white"/>
          <w:rtl w:val="0"/>
        </w:rPr>
        <w:t xml:space="preserve">program questionnaires and ask participants to put them into their white envelope, seal the envelope and give them to facilitator.</w:t>
      </w:r>
    </w:p>
    <w:p w:rsidR="00000000" w:rsidDel="00000000" w:rsidP="00000000" w:rsidRDefault="00000000" w:rsidRPr="00000000" w14:paraId="0000007D">
      <w:pPr>
        <w:pBdr>
          <w:bottom w:color="000000" w:space="1" w:sz="4" w:val="single"/>
        </w:pBdr>
        <w:shd w:fill="ffffff" w:val="clear"/>
        <w:ind w:left="360" w:firstLine="0"/>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4. Please be sure to record the total number of participants and (roughly) the number of individuals who came forward after the presentation to speak with the eating disorders specialists to get help for a student, etc.  After your screening, please email these results to us at programs@mentalfitnessinc.org.</w:t>
      </w:r>
    </w:p>
    <w:p w:rsidR="00000000" w:rsidDel="00000000" w:rsidP="00000000" w:rsidRDefault="00000000" w:rsidRPr="00000000" w14:paraId="0000007E">
      <w:pPr>
        <w:pBdr>
          <w:bottom w:color="000000" w:space="1" w:sz="4" w:val="single"/>
        </w:pBdr>
        <w:shd w:fill="ffffff" w:val="clear"/>
        <w:ind w:left="360" w:firstLine="0"/>
        <w:jc w:val="both"/>
        <w:rPr>
          <w:rFonts w:ascii="Century Gothic" w:cs="Century Gothic" w:eastAsia="Century Gothic" w:hAnsi="Century Gothic"/>
          <w:b w:val="1"/>
          <w:color w:val="333333"/>
          <w:highlight w:val="white"/>
        </w:rPr>
      </w:pPr>
      <w:r w:rsidDel="00000000" w:rsidR="00000000" w:rsidRPr="00000000">
        <w:rPr>
          <w:rFonts w:ascii="Century Gothic" w:cs="Century Gothic" w:eastAsia="Century Gothic" w:hAnsi="Century Gothic"/>
          <w:b w:val="1"/>
          <w:color w:val="333333"/>
          <w:highlight w:val="white"/>
          <w:rtl w:val="0"/>
        </w:rPr>
        <w:t xml:space="preserve">Guidelines for Q&amp;A Discussion after Screening (we recommend you have at least one CEDS psychotherapist on your panel, one person who is at least one year out of recovery and – if possible – a registered dietician who is also a CEDS):</w:t>
      </w:r>
    </w:p>
    <w:p w:rsidR="00000000" w:rsidDel="00000000" w:rsidP="00000000" w:rsidRDefault="00000000" w:rsidRPr="00000000" w14:paraId="0000007F">
      <w:pPr>
        <w:pBdr>
          <w:bottom w:color="000000" w:space="1" w:sz="4" w:val="single"/>
        </w:pBdr>
        <w:shd w:fill="ffffff" w:val="clear"/>
        <w:ind w:left="360" w:firstLine="0"/>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 Begin by asking each panelist to introduce themselves.</w:t>
      </w:r>
    </w:p>
    <w:p w:rsidR="00000000" w:rsidDel="00000000" w:rsidP="00000000" w:rsidRDefault="00000000" w:rsidRPr="00000000" w14:paraId="00000080">
      <w:pPr>
        <w:pBdr>
          <w:bottom w:color="000000" w:space="1" w:sz="4" w:val="single"/>
        </w:pBdr>
        <w:shd w:fill="ffffff" w:val="clear"/>
        <w:ind w:left="360" w:firstLine="0"/>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 Please ask each panelist one question (to get the ball rolling.  Sample questions: “what should an educator or parent do if they know a student is struggling?” or “With ‘disordered eating’ being such a normative behavior in our culture, how do we know when a student may actually have a diagnosable eating disorder?” (other facts and data from this packet can be incorporated into the questions as well).</w:t>
      </w:r>
    </w:p>
    <w:p w:rsidR="00000000" w:rsidDel="00000000" w:rsidP="00000000" w:rsidRDefault="00000000" w:rsidRPr="00000000" w14:paraId="00000081">
      <w:pPr>
        <w:pBdr>
          <w:bottom w:color="000000" w:space="1" w:sz="4" w:val="single"/>
        </w:pBdr>
        <w:shd w:fill="ffffff" w:val="clear"/>
        <w:ind w:left="360" w:firstLine="0"/>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 After a few questions have been asked, ask the audience if they have specific questions for the panel.</w:t>
      </w:r>
    </w:p>
    <w:p w:rsidR="00000000" w:rsidDel="00000000" w:rsidP="00000000" w:rsidRDefault="00000000" w:rsidRPr="00000000" w14:paraId="00000082">
      <w:pPr>
        <w:pBdr>
          <w:bottom w:color="000000" w:space="1" w:sz="4" w:val="single"/>
        </w:pBdr>
        <w:shd w:fill="ffffff" w:val="clear"/>
        <w:ind w:left="360" w:firstLine="0"/>
        <w:jc w:val="both"/>
        <w:rPr>
          <w:rFonts w:ascii="Century Gothic" w:cs="Century Gothic" w:eastAsia="Century Gothic" w:hAnsi="Century Gothic"/>
          <w:b w:val="1"/>
          <w:color w:val="333333"/>
          <w:highlight w:val="white"/>
        </w:rPr>
      </w:pPr>
      <w:r w:rsidDel="00000000" w:rsidR="00000000" w:rsidRPr="00000000">
        <w:rPr>
          <w:rFonts w:ascii="Century Gothic" w:cs="Century Gothic" w:eastAsia="Century Gothic" w:hAnsi="Century Gothic"/>
          <w:b w:val="1"/>
          <w:color w:val="333333"/>
          <w:highlight w:val="white"/>
          <w:rtl w:val="0"/>
        </w:rPr>
        <w:t xml:space="preserve">Other Talking Points To Cover During Q&amp;A</w:t>
      </w:r>
    </w:p>
    <w:p w:rsidR="00000000" w:rsidDel="00000000" w:rsidP="00000000" w:rsidRDefault="00000000" w:rsidRPr="00000000" w14:paraId="00000083">
      <w:pPr>
        <w:pBdr>
          <w:bottom w:color="000000" w:space="1" w:sz="4" w:val="single"/>
        </w:pBdr>
        <w:shd w:fill="ffffff" w:val="clear"/>
        <w:ind w:left="360" w:firstLine="0"/>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 The sooner a person receives treatment, the greater the chance of a full recovery. </w:t>
      </w:r>
    </w:p>
    <w:p w:rsidR="00000000" w:rsidDel="00000000" w:rsidP="00000000" w:rsidRDefault="00000000" w:rsidRPr="00000000" w14:paraId="00000084">
      <w:pPr>
        <w:pBdr>
          <w:bottom w:color="000000" w:space="1" w:sz="4" w:val="single"/>
        </w:pBdr>
        <w:shd w:fill="ffffff" w:val="clear"/>
        <w:ind w:left="360" w:firstLine="0"/>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 Many factors influence the development of biologically based illnesses, such as eating disorders. PARENTS and the media do NOT cause them. </w:t>
      </w:r>
    </w:p>
    <w:p w:rsidR="00000000" w:rsidDel="00000000" w:rsidP="00000000" w:rsidRDefault="00000000" w:rsidRPr="00000000" w14:paraId="00000085">
      <w:pPr>
        <w:pBdr>
          <w:bottom w:color="000000" w:space="1" w:sz="4" w:val="single"/>
        </w:pBdr>
        <w:shd w:fill="ffffff" w:val="clear"/>
        <w:ind w:left="360" w:firstLine="0"/>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 There are a range of treatment options and services available to help people of all ages recover. Many of the treatment centers and resources are listed in the educational packet that has been provided. </w:t>
      </w:r>
    </w:p>
    <w:p w:rsidR="00000000" w:rsidDel="00000000" w:rsidP="00000000" w:rsidRDefault="00000000" w:rsidRPr="00000000" w14:paraId="00000086">
      <w:pPr>
        <w:pBdr>
          <w:bottom w:color="000000" w:space="1" w:sz="4" w:val="single"/>
        </w:pBdr>
        <w:shd w:fill="ffffff" w:val="clear"/>
        <w:ind w:left="360" w:firstLine="0"/>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 The following techniques have been shown to improve protective factors for eating disorders, substance use disorders and other mental illnesses: journal writing, practicing deep breathing and mindfulness exercises, sharing feelings, building social-emotional skills.</w:t>
      </w:r>
    </w:p>
    <w:p w:rsidR="00000000" w:rsidDel="00000000" w:rsidP="00000000" w:rsidRDefault="00000000" w:rsidRPr="00000000" w14:paraId="00000087">
      <w:pPr>
        <w:pBdr>
          <w:bottom w:color="000000" w:space="1" w:sz="4" w:val="single"/>
        </w:pBdr>
        <w:shd w:fill="ffffff" w:val="clear"/>
        <w:ind w:left="360" w:firstLine="0"/>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 Many serious issues can occur along with eating disorders, which is why they require specialized treatment. For example, many patients with eating disorders may also be suffering from depression, anxiety disorders, or PTSD. </w:t>
      </w:r>
    </w:p>
    <w:p w:rsidR="00000000" w:rsidDel="00000000" w:rsidP="00000000" w:rsidRDefault="00000000" w:rsidRPr="00000000" w14:paraId="00000088">
      <w:pPr>
        <w:pBdr>
          <w:bottom w:color="000000" w:space="1" w:sz="4" w:val="single"/>
        </w:pBdr>
        <w:shd w:fill="ffffff" w:val="clear"/>
        <w:ind w:left="360" w:firstLine="0"/>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 Dieting and exercise are considered “gateway behaviors” to eating disorders. These are behaviors that start “innocently” but can develop into bigger problems, in those who are biologically at-risk for eating disorders. </w:t>
      </w:r>
    </w:p>
    <w:p w:rsidR="00000000" w:rsidDel="00000000" w:rsidP="00000000" w:rsidRDefault="00000000" w:rsidRPr="00000000" w14:paraId="00000089">
      <w:pPr>
        <w:pBdr>
          <w:bottom w:color="000000" w:space="1" w:sz="4" w:val="single"/>
        </w:pBdr>
        <w:shd w:fill="ffffff" w:val="clear"/>
        <w:ind w:left="360" w:firstLine="0"/>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 We usually can’t tell by looking at a person whether he or she is struggling with a serious mental illness like an eating disorder. In other words, just because a person is large or small, thin or heavy, doesn’t mean they are struggling with a psychiatric illness.</w:t>
      </w:r>
    </w:p>
    <w:p w:rsidR="00000000" w:rsidDel="00000000" w:rsidP="00000000" w:rsidRDefault="00000000" w:rsidRPr="00000000" w14:paraId="0000008A">
      <w:pPr>
        <w:pBdr>
          <w:bottom w:color="000000" w:space="1" w:sz="4" w:val="single"/>
        </w:pBdr>
        <w:shd w:fill="ffffff" w:val="clear"/>
        <w:ind w:left="360" w:firstLine="0"/>
        <w:jc w:val="both"/>
        <w:rPr>
          <w:rFonts w:ascii="Century Gothic" w:cs="Century Gothic" w:eastAsia="Century Gothic" w:hAnsi="Century Gothic"/>
          <w:color w:val="333333"/>
          <w:highlight w:val="white"/>
        </w:rPr>
      </w:pPr>
      <w:r w:rsidDel="00000000" w:rsidR="00000000" w:rsidRPr="00000000">
        <w:rPr>
          <w:rFonts w:ascii="Century Gothic" w:cs="Century Gothic" w:eastAsia="Century Gothic" w:hAnsi="Century Gothic"/>
          <w:color w:val="333333"/>
          <w:highlight w:val="white"/>
          <w:rtl w:val="0"/>
        </w:rPr>
        <w:t xml:space="preserve">Prior to ending the Q&amp;A, please remind the audience that they are free to speak with each individual panelist. </w:t>
      </w:r>
    </w:p>
    <w:p w:rsidR="00000000" w:rsidDel="00000000" w:rsidP="00000000" w:rsidRDefault="00000000" w:rsidRPr="00000000" w14:paraId="0000008B">
      <w:pPr>
        <w:pBdr>
          <w:bottom w:color="000000" w:space="1" w:sz="4" w:val="single"/>
        </w:pBdr>
        <w:shd w:fill="ffffff" w:val="clear"/>
        <w:ind w:left="360" w:firstLine="0"/>
        <w:jc w:val="both"/>
        <w:rPr>
          <w:rFonts w:ascii="Century Gothic" w:cs="Century Gothic" w:eastAsia="Century Gothic" w:hAnsi="Century Gothic"/>
          <w:color w:val="333333"/>
          <w:highlight w:val="white"/>
        </w:rPr>
      </w:pPr>
      <w:r w:rsidDel="00000000" w:rsidR="00000000" w:rsidRPr="00000000">
        <w:rPr>
          <w:rtl w:val="0"/>
        </w:rPr>
      </w:r>
    </w:p>
    <w:p w:rsidR="00000000" w:rsidDel="00000000" w:rsidP="00000000" w:rsidRDefault="00000000" w:rsidRPr="00000000" w14:paraId="0000008C">
      <w:pPr>
        <w:pBdr>
          <w:bottom w:color="000000" w:space="1" w:sz="4" w:val="single"/>
        </w:pBdr>
        <w:shd w:fill="ffffff" w:val="clear"/>
        <w:ind w:left="360" w:firstLine="0"/>
        <w:jc w:val="both"/>
        <w:rPr>
          <w:rFonts w:ascii="Century Gothic" w:cs="Century Gothic" w:eastAsia="Century Gothic" w:hAnsi="Century Gothic"/>
          <w:color w:val="333333"/>
          <w:highlight w:val="white"/>
        </w:rPr>
      </w:pPr>
      <w:r w:rsidDel="00000000" w:rsidR="00000000" w:rsidRPr="00000000">
        <w:rPr>
          <w:rtl w:val="0"/>
        </w:rPr>
      </w:r>
    </w:p>
    <w:p w:rsidR="00000000" w:rsidDel="00000000" w:rsidP="00000000" w:rsidRDefault="00000000" w:rsidRPr="00000000" w14:paraId="0000008D">
      <w:pPr>
        <w:rPr>
          <w:rFonts w:ascii="Century Gothic" w:cs="Century Gothic" w:eastAsia="Century Gothic" w:hAnsi="Century Gothic"/>
          <w:b w:val="1"/>
          <w:color w:val="333333"/>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8E">
      <w:pPr>
        <w:pBdr>
          <w:bottom w:color="000000" w:space="1" w:sz="4" w:val="single"/>
        </w:pBdr>
        <w:shd w:fill="ffffff" w:val="clear"/>
        <w:ind w:left="360" w:firstLine="0"/>
        <w:jc w:val="both"/>
        <w:rPr>
          <w:rFonts w:ascii="Milonga" w:cs="Milonga" w:eastAsia="Milonga" w:hAnsi="Milonga"/>
          <w:b w:val="1"/>
          <w:color w:val="333333"/>
          <w:sz w:val="28"/>
          <w:szCs w:val="28"/>
          <w:highlight w:val="white"/>
        </w:rPr>
      </w:pPr>
      <w:r w:rsidDel="00000000" w:rsidR="00000000" w:rsidRPr="00000000">
        <w:rPr>
          <w:rFonts w:ascii="Milonga" w:cs="Milonga" w:eastAsia="Milonga" w:hAnsi="Milonga"/>
          <w:b w:val="1"/>
          <w:color w:val="333333"/>
          <w:sz w:val="28"/>
          <w:szCs w:val="28"/>
          <w:highlight w:val="white"/>
          <w:rtl w:val="0"/>
        </w:rPr>
        <w:t xml:space="preserve">Myth Busters About Eating Disorders / Serious Mental Illness</w:t>
      </w:r>
    </w:p>
    <w:p w:rsidR="00000000" w:rsidDel="00000000" w:rsidP="00000000" w:rsidRDefault="00000000" w:rsidRPr="00000000" w14:paraId="0000008F">
      <w:pPr>
        <w:shd w:fill="ffffff" w:val="clear"/>
        <w:spacing w:after="150" w:lineRule="auto"/>
        <w:ind w:left="360" w:firstLine="0"/>
        <w:jc w:val="both"/>
        <w:rPr>
          <w:rFonts w:ascii="Milonga" w:cs="Milonga" w:eastAsia="Milonga" w:hAnsi="Milonga"/>
          <w:i w:val="1"/>
          <w:color w:val="333333"/>
          <w:sz w:val="20"/>
          <w:szCs w:val="20"/>
        </w:rPr>
      </w:pPr>
      <w:r w:rsidDel="00000000" w:rsidR="00000000" w:rsidRPr="00000000">
        <w:rPr>
          <w:rFonts w:ascii="Milonga" w:cs="Milonga" w:eastAsia="Milonga" w:hAnsi="Milonga"/>
          <w:i w:val="1"/>
          <w:color w:val="333333"/>
          <w:sz w:val="20"/>
          <w:szCs w:val="20"/>
          <w:highlight w:val="white"/>
          <w:rtl w:val="0"/>
        </w:rPr>
        <w:t xml:space="preserve">(Source: National Institute of Mental Health, unless otherwise noted) REV 2016</w:t>
      </w:r>
      <w:r w:rsidDel="00000000" w:rsidR="00000000" w:rsidRPr="00000000">
        <w:rPr>
          <w:rtl w:val="0"/>
        </w:rPr>
      </w:r>
    </w:p>
    <w:p w:rsidR="00000000" w:rsidDel="00000000" w:rsidP="00000000" w:rsidRDefault="00000000" w:rsidRPr="00000000" w14:paraId="00000090">
      <w:pPr>
        <w:numPr>
          <w:ilvl w:val="0"/>
          <w:numId w:val="2"/>
        </w:numPr>
        <w:ind w:left="720" w:hanging="360"/>
        <w:jc w:val="both"/>
        <w:rPr/>
      </w:pPr>
      <w:r w:rsidDel="00000000" w:rsidR="00000000" w:rsidRPr="00000000">
        <w:rPr>
          <w:rFonts w:ascii="Century Gothic" w:cs="Century Gothic" w:eastAsia="Century Gothic" w:hAnsi="Century Gothic"/>
          <w:sz w:val="20"/>
          <w:szCs w:val="20"/>
          <w:rtl w:val="0"/>
        </w:rPr>
        <w:t xml:space="preserve">There are </w:t>
      </w:r>
      <w:r w:rsidDel="00000000" w:rsidR="00000000" w:rsidRPr="00000000">
        <w:rPr>
          <w:rFonts w:ascii="Century Gothic" w:cs="Century Gothic" w:eastAsia="Century Gothic" w:hAnsi="Century Gothic"/>
          <w:b w:val="1"/>
          <w:sz w:val="20"/>
          <w:szCs w:val="20"/>
          <w:rtl w:val="0"/>
        </w:rPr>
        <w:t xml:space="preserve">at LEAST SIX</w:t>
      </w:r>
      <w:r w:rsidDel="00000000" w:rsidR="00000000" w:rsidRPr="00000000">
        <w:rPr>
          <w:rFonts w:ascii="Century Gothic" w:cs="Century Gothic" w:eastAsia="Century Gothic" w:hAnsi="Century Gothic"/>
          <w:sz w:val="20"/>
          <w:szCs w:val="20"/>
          <w:rtl w:val="0"/>
        </w:rPr>
        <w:t xml:space="preserve"> types of Eating Disorders: </w:t>
      </w:r>
      <w:r w:rsidDel="00000000" w:rsidR="00000000" w:rsidRPr="00000000">
        <w:rPr>
          <w:rFonts w:ascii="Century Gothic" w:cs="Century Gothic" w:eastAsia="Century Gothic" w:hAnsi="Century Gothic"/>
          <w:b w:val="1"/>
          <w:sz w:val="20"/>
          <w:szCs w:val="20"/>
          <w:rtl w:val="0"/>
        </w:rPr>
        <w:t xml:space="preserve">Anorexia</w:t>
      </w:r>
      <w:r w:rsidDel="00000000" w:rsidR="00000000" w:rsidRPr="00000000">
        <w:rPr>
          <w:rFonts w:ascii="Century Gothic" w:cs="Century Gothic" w:eastAsia="Century Gothic" w:hAnsi="Century Gothic"/>
          <w:sz w:val="20"/>
          <w:szCs w:val="20"/>
          <w:rtl w:val="0"/>
        </w:rPr>
        <w:t xml:space="preserve"> Nervosa, </w:t>
      </w:r>
      <w:r w:rsidDel="00000000" w:rsidR="00000000" w:rsidRPr="00000000">
        <w:rPr>
          <w:rFonts w:ascii="Century Gothic" w:cs="Century Gothic" w:eastAsia="Century Gothic" w:hAnsi="Century Gothic"/>
          <w:b w:val="1"/>
          <w:sz w:val="20"/>
          <w:szCs w:val="20"/>
          <w:rtl w:val="0"/>
        </w:rPr>
        <w:t xml:space="preserve">Bulimia</w:t>
      </w:r>
      <w:r w:rsidDel="00000000" w:rsidR="00000000" w:rsidRPr="00000000">
        <w:rPr>
          <w:rFonts w:ascii="Century Gothic" w:cs="Century Gothic" w:eastAsia="Century Gothic" w:hAnsi="Century Gothic"/>
          <w:sz w:val="20"/>
          <w:szCs w:val="20"/>
          <w:rtl w:val="0"/>
        </w:rPr>
        <w:t xml:space="preserve"> Nervosa, </w:t>
      </w:r>
      <w:r w:rsidDel="00000000" w:rsidR="00000000" w:rsidRPr="00000000">
        <w:rPr>
          <w:rFonts w:ascii="Century Gothic" w:cs="Century Gothic" w:eastAsia="Century Gothic" w:hAnsi="Century Gothic"/>
          <w:b w:val="1"/>
          <w:sz w:val="20"/>
          <w:szCs w:val="20"/>
          <w:rtl w:val="0"/>
        </w:rPr>
        <w:t xml:space="preserve">Binge</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b w:val="1"/>
          <w:sz w:val="20"/>
          <w:szCs w:val="20"/>
          <w:rtl w:val="0"/>
        </w:rPr>
        <w:t xml:space="preserve">Eating</w:t>
      </w:r>
      <w:r w:rsidDel="00000000" w:rsidR="00000000" w:rsidRPr="00000000">
        <w:rPr>
          <w:rFonts w:ascii="Century Gothic" w:cs="Century Gothic" w:eastAsia="Century Gothic" w:hAnsi="Century Gothic"/>
          <w:sz w:val="20"/>
          <w:szCs w:val="20"/>
          <w:rtl w:val="0"/>
        </w:rPr>
        <w:t xml:space="preserve"> Disorder, </w:t>
      </w:r>
      <w:r w:rsidDel="00000000" w:rsidR="00000000" w:rsidRPr="00000000">
        <w:rPr>
          <w:rFonts w:ascii="Century Gothic" w:cs="Century Gothic" w:eastAsia="Century Gothic" w:hAnsi="Century Gothic"/>
          <w:b w:val="1"/>
          <w:sz w:val="20"/>
          <w:szCs w:val="20"/>
          <w:rtl w:val="0"/>
        </w:rPr>
        <w:t xml:space="preserve">OSFED* </w:t>
      </w:r>
      <w:r w:rsidDel="00000000" w:rsidR="00000000" w:rsidRPr="00000000">
        <w:rPr>
          <w:rFonts w:ascii="Century Gothic" w:cs="Century Gothic" w:eastAsia="Century Gothic" w:hAnsi="Century Gothic"/>
          <w:sz w:val="20"/>
          <w:szCs w:val="20"/>
          <w:rtl w:val="0"/>
        </w:rPr>
        <w:t xml:space="preserve">(Otherwise Specified Feeding or Eating Disorder – two sub-types (Purging or a-typical Anorexia))</w:t>
      </w:r>
      <w:r w:rsidDel="00000000" w:rsidR="00000000" w:rsidRPr="00000000">
        <w:rPr>
          <w:rFonts w:ascii="Century Gothic" w:cs="Century Gothic" w:eastAsia="Century Gothic" w:hAnsi="Century Gothic"/>
          <w:b w:val="1"/>
          <w:sz w:val="20"/>
          <w:szCs w:val="20"/>
          <w:rtl w:val="0"/>
        </w:rPr>
        <w:t xml:space="preserve">, UFED </w:t>
      </w:r>
      <w:r w:rsidDel="00000000" w:rsidR="00000000" w:rsidRPr="00000000">
        <w:rPr>
          <w:rFonts w:ascii="Century Gothic" w:cs="Century Gothic" w:eastAsia="Century Gothic" w:hAnsi="Century Gothic"/>
          <w:sz w:val="20"/>
          <w:szCs w:val="20"/>
          <w:rtl w:val="0"/>
        </w:rPr>
        <w:t xml:space="preserve">(Unidentified), </w:t>
      </w:r>
      <w:r w:rsidDel="00000000" w:rsidR="00000000" w:rsidRPr="00000000">
        <w:rPr>
          <w:rFonts w:ascii="Century Gothic" w:cs="Century Gothic" w:eastAsia="Century Gothic" w:hAnsi="Century Gothic"/>
          <w:b w:val="1"/>
          <w:sz w:val="20"/>
          <w:szCs w:val="20"/>
          <w:rtl w:val="0"/>
        </w:rPr>
        <w:t xml:space="preserve">ARFID </w:t>
      </w:r>
      <w:r w:rsidDel="00000000" w:rsidR="00000000" w:rsidRPr="00000000">
        <w:rPr>
          <w:rFonts w:ascii="Century Gothic" w:cs="Century Gothic" w:eastAsia="Century Gothic" w:hAnsi="Century Gothic"/>
          <w:sz w:val="20"/>
          <w:szCs w:val="20"/>
          <w:rtl w:val="0"/>
        </w:rPr>
        <w:t xml:space="preserve">(Avoidant or Restrictive Food Intake Disorder).</w:t>
      </w:r>
    </w:p>
    <w:p w:rsidR="00000000" w:rsidDel="00000000" w:rsidP="00000000" w:rsidRDefault="00000000" w:rsidRPr="00000000" w14:paraId="00000091">
      <w:pPr>
        <w:numPr>
          <w:ilvl w:val="1"/>
          <w:numId w:val="2"/>
        </w:numPr>
        <w:ind w:left="1440" w:hanging="360"/>
        <w:jc w:val="both"/>
        <w:rPr/>
      </w:pPr>
      <w:r w:rsidDel="00000000" w:rsidR="00000000" w:rsidRPr="00000000">
        <w:rPr>
          <w:rFonts w:ascii="Century Gothic" w:cs="Century Gothic" w:eastAsia="Century Gothic" w:hAnsi="Century Gothic"/>
          <w:sz w:val="20"/>
          <w:szCs w:val="20"/>
          <w:rtl w:val="0"/>
        </w:rPr>
        <w:t xml:space="preserve">Significant changes were made to the </w:t>
      </w:r>
      <w:r w:rsidDel="00000000" w:rsidR="00000000" w:rsidRPr="00000000">
        <w:rPr>
          <w:rFonts w:ascii="Century Gothic" w:cs="Century Gothic" w:eastAsia="Century Gothic" w:hAnsi="Century Gothic"/>
          <w:b w:val="1"/>
          <w:sz w:val="20"/>
          <w:szCs w:val="20"/>
          <w:rtl w:val="0"/>
        </w:rPr>
        <w:t xml:space="preserve">DSM-V in 2013</w:t>
      </w:r>
      <w:r w:rsidDel="00000000" w:rsidR="00000000" w:rsidRPr="00000000">
        <w:rPr>
          <w:rFonts w:ascii="Century Gothic" w:cs="Century Gothic" w:eastAsia="Century Gothic" w:hAnsi="Century Gothic"/>
          <w:sz w:val="20"/>
          <w:szCs w:val="20"/>
          <w:rtl w:val="0"/>
        </w:rPr>
        <w:t xml:space="preserve"> with regard to eating disorders.  Most notably, </w:t>
      </w:r>
      <w:r w:rsidDel="00000000" w:rsidR="00000000" w:rsidRPr="00000000">
        <w:rPr>
          <w:rFonts w:ascii="Century Gothic" w:cs="Century Gothic" w:eastAsia="Century Gothic" w:hAnsi="Century Gothic"/>
          <w:b w:val="1"/>
          <w:sz w:val="20"/>
          <w:szCs w:val="20"/>
          <w:rtl w:val="0"/>
        </w:rPr>
        <w:t xml:space="preserve">Binge Eating Disorder (BED) has been acknowledged as a separate diagnosis for the first time</w:t>
      </w:r>
      <w:r w:rsidDel="00000000" w:rsidR="00000000" w:rsidRPr="00000000">
        <w:rPr>
          <w:rFonts w:ascii="Century Gothic" w:cs="Century Gothic" w:eastAsia="Century Gothic" w:hAnsi="Century Gothic"/>
          <w:sz w:val="20"/>
          <w:szCs w:val="20"/>
          <w:rtl w:val="0"/>
        </w:rPr>
        <w:t xml:space="preserve">. This will help increase awareness of the differences between Binge Eating Disorder and the more common issue of overeating.</w:t>
      </w:r>
    </w:p>
    <w:p w:rsidR="00000000" w:rsidDel="00000000" w:rsidP="00000000" w:rsidRDefault="00000000" w:rsidRPr="00000000" w14:paraId="00000092">
      <w:pPr>
        <w:numPr>
          <w:ilvl w:val="1"/>
          <w:numId w:val="2"/>
        </w:numPr>
        <w:ind w:left="1440" w:hanging="360"/>
        <w:jc w:val="both"/>
        <w:rPr/>
      </w:pPr>
      <w:r w:rsidDel="00000000" w:rsidR="00000000" w:rsidRPr="00000000">
        <w:rPr>
          <w:rFonts w:ascii="Century Gothic" w:cs="Century Gothic" w:eastAsia="Century Gothic" w:hAnsi="Century Gothic"/>
          <w:sz w:val="20"/>
          <w:szCs w:val="20"/>
          <w:rtl w:val="0"/>
        </w:rPr>
        <w:t xml:space="preserve">Additionally, the category that was known as Eating Disorder Not Otherwise Specified (EDNOS), has been removed. There are two new categories; </w:t>
      </w:r>
      <w:r w:rsidDel="00000000" w:rsidR="00000000" w:rsidRPr="00000000">
        <w:rPr>
          <w:rFonts w:ascii="Century Gothic" w:cs="Century Gothic" w:eastAsia="Century Gothic" w:hAnsi="Century Gothic"/>
          <w:b w:val="1"/>
          <w:sz w:val="20"/>
          <w:szCs w:val="20"/>
          <w:rtl w:val="0"/>
        </w:rPr>
        <w:t xml:space="preserve">Other Specified Feeding or Eating Disorder (OSFED) and Unspecified Feeding or Eating Disorder (UFED).</w:t>
      </w:r>
      <w:r w:rsidDel="00000000" w:rsidR="00000000" w:rsidRPr="00000000">
        <w:rPr>
          <w:rFonts w:ascii="Century Gothic" w:cs="Century Gothic" w:eastAsia="Century Gothic" w:hAnsi="Century Gothic"/>
          <w:sz w:val="20"/>
          <w:szCs w:val="20"/>
          <w:rtl w:val="0"/>
        </w:rPr>
        <w:t xml:space="preserve"> These new categories are intended to more appropriately recognize and categorize conditions that do not more accurately fit into Anorexia Nervosa, Bulimia Nervosa, BED, or the other eating and feeding disorders. It is important to note that these new categories are not an indication of a less severe eating disorder, simply a different constellation of symptoms.</w:t>
      </w:r>
    </w:p>
    <w:p w:rsidR="00000000" w:rsidDel="00000000" w:rsidP="00000000" w:rsidRDefault="00000000" w:rsidRPr="00000000" w14:paraId="00000093">
      <w:pPr>
        <w:numPr>
          <w:ilvl w:val="1"/>
          <w:numId w:val="2"/>
        </w:numPr>
        <w:ind w:left="1440" w:hanging="360"/>
        <w:jc w:val="both"/>
        <w:rPr>
          <w:i w:val="1"/>
        </w:rPr>
      </w:pPr>
      <w:r w:rsidDel="00000000" w:rsidR="00000000" w:rsidRPr="00000000">
        <w:rPr>
          <w:rFonts w:ascii="Century Gothic" w:cs="Century Gothic" w:eastAsia="Century Gothic" w:hAnsi="Century Gothic"/>
          <w:sz w:val="20"/>
          <w:szCs w:val="20"/>
          <w:rtl w:val="0"/>
        </w:rPr>
        <w:t xml:space="preserve">Another significant change is the </w:t>
      </w:r>
      <w:r w:rsidDel="00000000" w:rsidR="00000000" w:rsidRPr="00000000">
        <w:rPr>
          <w:rFonts w:ascii="Century Gothic" w:cs="Century Gothic" w:eastAsia="Century Gothic" w:hAnsi="Century Gothic"/>
          <w:b w:val="1"/>
          <w:sz w:val="20"/>
          <w:szCs w:val="20"/>
          <w:rtl w:val="0"/>
        </w:rPr>
        <w:t xml:space="preserve">inclusion of some types of ‘Feeding Disorders’</w:t>
      </w:r>
      <w:r w:rsidDel="00000000" w:rsidR="00000000" w:rsidRPr="00000000">
        <w:rPr>
          <w:rFonts w:ascii="Century Gothic" w:cs="Century Gothic" w:eastAsia="Century Gothic" w:hAnsi="Century Gothic"/>
          <w:sz w:val="20"/>
          <w:szCs w:val="20"/>
          <w:rtl w:val="0"/>
        </w:rPr>
        <w:t xml:space="preserve"> that were previously listed in other chapters of the DSM, and now listed together with eating disorders.  </w:t>
      </w:r>
      <w:r w:rsidDel="00000000" w:rsidR="00000000" w:rsidRPr="00000000">
        <w:rPr>
          <w:rFonts w:ascii="Century Gothic" w:cs="Century Gothic" w:eastAsia="Century Gothic" w:hAnsi="Century Gothic"/>
          <w:i w:val="1"/>
          <w:sz w:val="20"/>
          <w:szCs w:val="20"/>
          <w:rtl w:val="0"/>
        </w:rPr>
        <w:t xml:space="preserve">(American Psychiatric Association. (2013). Diagnostic and statistical manual of mental disorders: DSM-5. Washington, D.C: American Psychiatric Association.)</w:t>
      </w:r>
    </w:p>
    <w:p w:rsidR="00000000" w:rsidDel="00000000" w:rsidP="00000000" w:rsidRDefault="00000000" w:rsidRPr="00000000" w14:paraId="00000094">
      <w:pPr>
        <w:numPr>
          <w:ilvl w:val="0"/>
          <w:numId w:val="2"/>
        </w:numPr>
        <w:ind w:left="720" w:hanging="360"/>
        <w:jc w:val="both"/>
        <w:rPr/>
      </w:pPr>
      <w:r w:rsidDel="00000000" w:rsidR="00000000" w:rsidRPr="00000000">
        <w:rPr>
          <w:rFonts w:ascii="Century Gothic" w:cs="Century Gothic" w:eastAsia="Century Gothic" w:hAnsi="Century Gothic"/>
          <w:b w:val="1"/>
          <w:sz w:val="20"/>
          <w:szCs w:val="20"/>
          <w:rtl w:val="0"/>
        </w:rPr>
        <w:t xml:space="preserve">Disordered Eating</w:t>
      </w:r>
      <w:r w:rsidDel="00000000" w:rsidR="00000000" w:rsidRPr="00000000">
        <w:rPr>
          <w:rFonts w:ascii="Century Gothic" w:cs="Century Gothic" w:eastAsia="Century Gothic" w:hAnsi="Century Gothic"/>
          <w:sz w:val="20"/>
          <w:szCs w:val="20"/>
          <w:rtl w:val="0"/>
        </w:rPr>
        <w:t xml:space="preserve"> (dieting and chaotic eating patterns that include restricting food), is the “norm” in American culture and can lead to serious illnesses such as female athlete triad syndrome, cardiac complications and eating disorders.</w:t>
      </w:r>
    </w:p>
    <w:p w:rsidR="00000000" w:rsidDel="00000000" w:rsidP="00000000" w:rsidRDefault="00000000" w:rsidRPr="00000000" w14:paraId="00000095">
      <w:pPr>
        <w:numPr>
          <w:ilvl w:val="0"/>
          <w:numId w:val="2"/>
        </w:numPr>
        <w:ind w:left="720" w:hanging="360"/>
        <w:jc w:val="both"/>
        <w:rPr/>
      </w:pPr>
      <w:r w:rsidDel="00000000" w:rsidR="00000000" w:rsidRPr="00000000">
        <w:rPr>
          <w:rFonts w:ascii="Century Gothic" w:cs="Century Gothic" w:eastAsia="Century Gothic" w:hAnsi="Century Gothic"/>
          <w:b w:val="1"/>
          <w:sz w:val="20"/>
          <w:szCs w:val="20"/>
          <w:rtl w:val="0"/>
        </w:rPr>
        <w:t xml:space="preserve">At Least 38 million</w:t>
      </w:r>
      <w:r w:rsidDel="00000000" w:rsidR="00000000" w:rsidRPr="00000000">
        <w:rPr>
          <w:rFonts w:ascii="Century Gothic" w:cs="Century Gothic" w:eastAsia="Century Gothic" w:hAnsi="Century Gothic"/>
          <w:sz w:val="20"/>
          <w:szCs w:val="20"/>
          <w:rtl w:val="0"/>
        </w:rPr>
        <w:t xml:space="preserve"> Americans are struggling with an eating disorder. </w:t>
      </w:r>
      <w:r w:rsidDel="00000000" w:rsidR="00000000" w:rsidRPr="00000000">
        <w:rPr>
          <w:rFonts w:ascii="Century Gothic" w:cs="Century Gothic" w:eastAsia="Century Gothic" w:hAnsi="Century Gothic"/>
          <w:i w:val="1"/>
          <w:sz w:val="20"/>
          <w:szCs w:val="20"/>
          <w:rtl w:val="0"/>
        </w:rPr>
        <w:t xml:space="preserve">(National Eating Disorders Association, Binge Eating Disorder Association, National Association for Males with Eating Disorders)</w:t>
      </w:r>
      <w:r w:rsidDel="00000000" w:rsidR="00000000" w:rsidRPr="00000000">
        <w:rPr>
          <w:rtl w:val="0"/>
        </w:rPr>
      </w:r>
    </w:p>
    <w:p w:rsidR="00000000" w:rsidDel="00000000" w:rsidP="00000000" w:rsidRDefault="00000000" w:rsidRPr="00000000" w14:paraId="00000096">
      <w:pPr>
        <w:numPr>
          <w:ilvl w:val="0"/>
          <w:numId w:val="2"/>
        </w:numPr>
        <w:ind w:left="720" w:hanging="360"/>
        <w:jc w:val="both"/>
        <w:rPr/>
      </w:pPr>
      <w:r w:rsidDel="00000000" w:rsidR="00000000" w:rsidRPr="00000000">
        <w:rPr>
          <w:rFonts w:ascii="Century Gothic" w:cs="Century Gothic" w:eastAsia="Century Gothic" w:hAnsi="Century Gothic"/>
          <w:b w:val="1"/>
          <w:sz w:val="20"/>
          <w:szCs w:val="20"/>
          <w:rtl w:val="0"/>
        </w:rPr>
        <w:t xml:space="preserve">7 million</w:t>
      </w:r>
      <w:r w:rsidDel="00000000" w:rsidR="00000000" w:rsidRPr="00000000">
        <w:rPr>
          <w:rFonts w:ascii="Century Gothic" w:cs="Century Gothic" w:eastAsia="Century Gothic" w:hAnsi="Century Gothic"/>
          <w:sz w:val="20"/>
          <w:szCs w:val="20"/>
          <w:rtl w:val="0"/>
        </w:rPr>
        <w:t xml:space="preserve"> of those struggling with eating disorders are </w:t>
      </w:r>
      <w:r w:rsidDel="00000000" w:rsidR="00000000" w:rsidRPr="00000000">
        <w:rPr>
          <w:rFonts w:ascii="Century Gothic" w:cs="Century Gothic" w:eastAsia="Century Gothic" w:hAnsi="Century Gothic"/>
          <w:b w:val="1"/>
          <w:sz w:val="20"/>
          <w:szCs w:val="20"/>
          <w:rtl w:val="0"/>
        </w:rPr>
        <w:t xml:space="preserve">males</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b w:val="1"/>
          <w:sz w:val="20"/>
          <w:szCs w:val="20"/>
          <w:rtl w:val="0"/>
        </w:rPr>
        <w:t xml:space="preserve">Male eating disorders often go undiagnosed</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i w:val="1"/>
          <w:sz w:val="20"/>
          <w:szCs w:val="20"/>
          <w:rtl w:val="0"/>
        </w:rPr>
        <w:t xml:space="preserve">(National Association for Males with Eating Disorders)</w:t>
      </w:r>
      <w:r w:rsidDel="00000000" w:rsidR="00000000" w:rsidRPr="00000000">
        <w:rPr>
          <w:rtl w:val="0"/>
        </w:rPr>
      </w:r>
    </w:p>
    <w:p w:rsidR="00000000" w:rsidDel="00000000" w:rsidP="00000000" w:rsidRDefault="00000000" w:rsidRPr="00000000" w14:paraId="00000097">
      <w:pPr>
        <w:numPr>
          <w:ilvl w:val="0"/>
          <w:numId w:val="2"/>
        </w:numPr>
        <w:ind w:left="720" w:hanging="360"/>
        <w:jc w:val="both"/>
        <w:rPr/>
      </w:pPr>
      <w:r w:rsidDel="00000000" w:rsidR="00000000" w:rsidRPr="00000000">
        <w:rPr>
          <w:rFonts w:ascii="Century Gothic" w:cs="Century Gothic" w:eastAsia="Century Gothic" w:hAnsi="Century Gothic"/>
          <w:b w:val="1"/>
          <w:sz w:val="20"/>
          <w:szCs w:val="20"/>
          <w:rtl w:val="0"/>
        </w:rPr>
        <w:t xml:space="preserve">More people die from eating disorders than from any other psychiatric illness</w:t>
      </w:r>
      <w:r w:rsidDel="00000000" w:rsidR="00000000" w:rsidRPr="00000000">
        <w:rPr>
          <w:rtl w:val="0"/>
        </w:rPr>
      </w:r>
    </w:p>
    <w:p w:rsidR="00000000" w:rsidDel="00000000" w:rsidP="00000000" w:rsidRDefault="00000000" w:rsidRPr="00000000" w14:paraId="00000098">
      <w:pPr>
        <w:numPr>
          <w:ilvl w:val="0"/>
          <w:numId w:val="2"/>
        </w:numPr>
        <w:ind w:left="720" w:hanging="360"/>
        <w:jc w:val="both"/>
        <w:rPr/>
      </w:pPr>
      <w:r w:rsidDel="00000000" w:rsidR="00000000" w:rsidRPr="00000000">
        <w:rPr>
          <w:rFonts w:ascii="Century Gothic" w:cs="Century Gothic" w:eastAsia="Century Gothic" w:hAnsi="Century Gothic"/>
          <w:b w:val="1"/>
          <w:sz w:val="20"/>
          <w:szCs w:val="20"/>
          <w:rtl w:val="0"/>
        </w:rPr>
        <w:t xml:space="preserve">More women struggle with eating disorders than with breast cancer</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i w:val="1"/>
          <w:sz w:val="20"/>
          <w:szCs w:val="20"/>
          <w:rtl w:val="0"/>
        </w:rPr>
        <w:t xml:space="preserve">(2010 National Cancer Institute, SEER, National Eating Disorders Association, Binge Eating Disorder Association)</w:t>
      </w:r>
      <w:r w:rsidDel="00000000" w:rsidR="00000000" w:rsidRPr="00000000">
        <w:rPr>
          <w:rtl w:val="0"/>
        </w:rPr>
      </w:r>
    </w:p>
    <w:p w:rsidR="00000000" w:rsidDel="00000000" w:rsidP="00000000" w:rsidRDefault="00000000" w:rsidRPr="00000000" w14:paraId="00000099">
      <w:pPr>
        <w:numPr>
          <w:ilvl w:val="0"/>
          <w:numId w:val="2"/>
        </w:numPr>
        <w:ind w:left="720" w:hanging="360"/>
        <w:jc w:val="both"/>
        <w:rPr/>
      </w:pPr>
      <w:r w:rsidDel="00000000" w:rsidR="00000000" w:rsidRPr="00000000">
        <w:rPr>
          <w:rFonts w:ascii="Century Gothic" w:cs="Century Gothic" w:eastAsia="Century Gothic" w:hAnsi="Century Gothic"/>
          <w:sz w:val="20"/>
          <w:szCs w:val="20"/>
          <w:rtl w:val="0"/>
        </w:rPr>
        <w:t xml:space="preserve">Eating disorders frequently </w:t>
      </w:r>
      <w:r w:rsidDel="00000000" w:rsidR="00000000" w:rsidRPr="00000000">
        <w:rPr>
          <w:rFonts w:ascii="Century Gothic" w:cs="Century Gothic" w:eastAsia="Century Gothic" w:hAnsi="Century Gothic"/>
          <w:b w:val="1"/>
          <w:sz w:val="20"/>
          <w:szCs w:val="20"/>
          <w:rtl w:val="0"/>
        </w:rPr>
        <w:t xml:space="preserve">co-exist with other psychiatric disorders such as depression, alcoholism or substance abuse, self-harming, OCD, PTSD, ADHD or anxiety disorders</w:t>
      </w:r>
      <w:r w:rsidDel="00000000" w:rsidR="00000000" w:rsidRPr="00000000">
        <w:rPr>
          <w:rFonts w:ascii="Century Gothic" w:cs="Century Gothic" w:eastAsia="Century Gothic" w:hAnsi="Century Gothic"/>
          <w:sz w:val="20"/>
          <w:szCs w:val="20"/>
          <w:rtl w:val="0"/>
        </w:rPr>
        <w:t xml:space="preserve">.</w:t>
      </w:r>
    </w:p>
    <w:p w:rsidR="00000000" w:rsidDel="00000000" w:rsidP="00000000" w:rsidRDefault="00000000" w:rsidRPr="00000000" w14:paraId="0000009A">
      <w:pPr>
        <w:numPr>
          <w:ilvl w:val="0"/>
          <w:numId w:val="2"/>
        </w:numPr>
        <w:ind w:left="720" w:hanging="360"/>
        <w:jc w:val="both"/>
        <w:rPr/>
      </w:pPr>
      <w:r w:rsidDel="00000000" w:rsidR="00000000" w:rsidRPr="00000000">
        <w:rPr>
          <w:rFonts w:ascii="Century Gothic" w:cs="Century Gothic" w:eastAsia="Century Gothic" w:hAnsi="Century Gothic"/>
          <w:b w:val="1"/>
          <w:sz w:val="20"/>
          <w:szCs w:val="20"/>
          <w:rtl w:val="0"/>
        </w:rPr>
        <w:t xml:space="preserve">People with anorexia are up to ten times more likely to die as a result of their illness.</w:t>
      </w:r>
      <w:r w:rsidDel="00000000" w:rsidR="00000000" w:rsidRPr="00000000">
        <w:rPr>
          <w:rFonts w:ascii="Century Gothic" w:cs="Century Gothic" w:eastAsia="Century Gothic" w:hAnsi="Century Gothic"/>
          <w:sz w:val="20"/>
          <w:szCs w:val="20"/>
          <w:rtl w:val="0"/>
        </w:rPr>
        <w:t xml:space="preserve"> The most common complications that lead to death are </w:t>
      </w:r>
      <w:r w:rsidDel="00000000" w:rsidR="00000000" w:rsidRPr="00000000">
        <w:rPr>
          <w:rFonts w:ascii="Century Gothic" w:cs="Century Gothic" w:eastAsia="Century Gothic" w:hAnsi="Century Gothic"/>
          <w:b w:val="1"/>
          <w:sz w:val="20"/>
          <w:szCs w:val="20"/>
          <w:rtl w:val="0"/>
        </w:rPr>
        <w:t xml:space="preserve">cardiac arrest</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b w:val="1"/>
          <w:sz w:val="20"/>
          <w:szCs w:val="20"/>
          <w:rtl w:val="0"/>
        </w:rPr>
        <w:t xml:space="preserve">electrolyte imbalances </w:t>
      </w:r>
      <w:r w:rsidDel="00000000" w:rsidR="00000000" w:rsidRPr="00000000">
        <w:rPr>
          <w:rFonts w:ascii="Century Gothic" w:cs="Century Gothic" w:eastAsia="Century Gothic" w:hAnsi="Century Gothic"/>
          <w:sz w:val="20"/>
          <w:szCs w:val="20"/>
          <w:rtl w:val="0"/>
        </w:rPr>
        <w:t xml:space="preserve">and </w:t>
      </w:r>
      <w:r w:rsidDel="00000000" w:rsidR="00000000" w:rsidRPr="00000000">
        <w:rPr>
          <w:rFonts w:ascii="Century Gothic" w:cs="Century Gothic" w:eastAsia="Century Gothic" w:hAnsi="Century Gothic"/>
          <w:b w:val="1"/>
          <w:sz w:val="20"/>
          <w:szCs w:val="20"/>
          <w:rtl w:val="0"/>
        </w:rPr>
        <w:t xml:space="preserve">suicide</w:t>
      </w:r>
      <w:r w:rsidDel="00000000" w:rsidR="00000000" w:rsidRPr="00000000">
        <w:rPr>
          <w:rFonts w:ascii="Century Gothic" w:cs="Century Gothic" w:eastAsia="Century Gothic" w:hAnsi="Century Gothic"/>
          <w:sz w:val="20"/>
          <w:szCs w:val="20"/>
          <w:rtl w:val="0"/>
        </w:rPr>
        <w:t xml:space="preserve">.</w:t>
      </w:r>
    </w:p>
    <w:p w:rsidR="00000000" w:rsidDel="00000000" w:rsidP="00000000" w:rsidRDefault="00000000" w:rsidRPr="00000000" w14:paraId="0000009B">
      <w:pPr>
        <w:numPr>
          <w:ilvl w:val="0"/>
          <w:numId w:val="2"/>
        </w:numPr>
        <w:ind w:left="720" w:hanging="360"/>
        <w:jc w:val="both"/>
        <w:rPr>
          <w:i w:val="1"/>
        </w:rPr>
      </w:pPr>
      <w:r w:rsidDel="00000000" w:rsidR="00000000" w:rsidRPr="00000000">
        <w:rPr>
          <w:rFonts w:ascii="Century Gothic" w:cs="Century Gothic" w:eastAsia="Century Gothic" w:hAnsi="Century Gothic"/>
          <w:sz w:val="20"/>
          <w:szCs w:val="20"/>
          <w:rtl w:val="0"/>
        </w:rPr>
        <w:t xml:space="preserve">The prevalence of traumatic events in ED patients has ranged from 37% to 100% </w:t>
      </w:r>
      <w:r w:rsidDel="00000000" w:rsidR="00000000" w:rsidRPr="00000000">
        <w:rPr>
          <w:rFonts w:ascii="Century Gothic" w:cs="Century Gothic" w:eastAsia="Century Gothic" w:hAnsi="Century Gothic"/>
          <w:i w:val="1"/>
          <w:sz w:val="20"/>
          <w:szCs w:val="20"/>
          <w:rtl w:val="0"/>
        </w:rPr>
        <w:t xml:space="preserve">(Dalle Grave R, Rigamonti R, Todisco P, Oliosi E. Dissociation and traumatic experiences in eating disorders. European Eating Disorders Review. 1996;4:232–240., Mitchell KS, Mazzeo SE, Schlesinger MR, Brewerton TD, Smith BN Int J Eat Disord. 2012 Apr; 45(3):307-15.)</w:t>
      </w:r>
      <w:r w:rsidDel="00000000" w:rsidR="00000000" w:rsidRPr="00000000">
        <w:rPr>
          <w:rFonts w:ascii="Century Gothic" w:cs="Century Gothic" w:eastAsia="Century Gothic" w:hAnsi="Century Gothic"/>
          <w:sz w:val="20"/>
          <w:szCs w:val="20"/>
          <w:rtl w:val="0"/>
        </w:rPr>
        <w:t xml:space="preserve">.  Despite the literature in this area, there are some limitations regarding the precision and accuracy of trauma data collection and classification. Most of the studies have focused exclusively on specific trauma domains, such as interpersonal post-traumatic events, and, therefore, contribute to the </w:t>
      </w:r>
      <w:r w:rsidDel="00000000" w:rsidR="00000000" w:rsidRPr="00000000">
        <w:rPr>
          <w:rFonts w:ascii="Century Gothic" w:cs="Century Gothic" w:eastAsia="Century Gothic" w:hAnsi="Century Gothic"/>
          <w:b w:val="1"/>
          <w:sz w:val="20"/>
          <w:szCs w:val="20"/>
          <w:rtl w:val="0"/>
        </w:rPr>
        <w:t xml:space="preserve">underreporting of other types of traumas in this population</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i w:val="1"/>
          <w:sz w:val="20"/>
          <w:szCs w:val="20"/>
          <w:rtl w:val="0"/>
        </w:rPr>
        <w:t xml:space="preserve">(Tagay, S., Schlottbohm, E., Reyes-Rodriguez, M. L., Repic, N., &amp; Senf, W. (2014). Eating Disorders, Trauma, PTSD and Psychosocial Resources. Eating Disorders, 22(1), 33–49. http://doi.org/10.1080/10640266.2014.857517)</w:t>
      </w:r>
    </w:p>
    <w:p w:rsidR="00000000" w:rsidDel="00000000" w:rsidP="00000000" w:rsidRDefault="00000000" w:rsidRPr="00000000" w14:paraId="0000009C">
      <w:pPr>
        <w:numPr>
          <w:ilvl w:val="0"/>
          <w:numId w:val="2"/>
        </w:numPr>
        <w:ind w:left="720" w:hanging="360"/>
        <w:jc w:val="both"/>
        <w:rPr/>
      </w:pPr>
      <w:r w:rsidDel="00000000" w:rsidR="00000000" w:rsidRPr="00000000">
        <w:rPr>
          <w:rFonts w:ascii="Century Gothic" w:cs="Century Gothic" w:eastAsia="Century Gothic" w:hAnsi="Century Gothic"/>
          <w:b w:val="1"/>
          <w:sz w:val="20"/>
          <w:szCs w:val="20"/>
          <w:rtl w:val="0"/>
        </w:rPr>
        <w:t xml:space="preserve">Crime victimization experiences</w:t>
      </w:r>
      <w:r w:rsidDel="00000000" w:rsidR="00000000" w:rsidRPr="00000000">
        <w:rPr>
          <w:rFonts w:ascii="Century Gothic" w:cs="Century Gothic" w:eastAsia="Century Gothic" w:hAnsi="Century Gothic"/>
          <w:sz w:val="20"/>
          <w:szCs w:val="20"/>
          <w:rtl w:val="0"/>
        </w:rPr>
        <w:t xml:space="preserve">, such as rape, molestation, and aggravated assault </w:t>
      </w:r>
      <w:r w:rsidDel="00000000" w:rsidR="00000000" w:rsidRPr="00000000">
        <w:rPr>
          <w:rFonts w:ascii="Century Gothic" w:cs="Century Gothic" w:eastAsia="Century Gothic" w:hAnsi="Century Gothic"/>
          <w:b w:val="1"/>
          <w:sz w:val="20"/>
          <w:szCs w:val="20"/>
          <w:rtl w:val="0"/>
        </w:rPr>
        <w:t xml:space="preserve">are significantly associated with bulimia nervosa</w:t>
      </w:r>
      <w:r w:rsidDel="00000000" w:rsidR="00000000" w:rsidRPr="00000000">
        <w:rPr>
          <w:rFonts w:ascii="Century Gothic" w:cs="Century Gothic" w:eastAsia="Century Gothic" w:hAnsi="Century Gothic"/>
          <w:sz w:val="20"/>
          <w:szCs w:val="20"/>
          <w:rtl w:val="0"/>
        </w:rPr>
        <w:t xml:space="preserve"> (BN) and associated psychiatric comorbidity such as posttraumatic stress disorder (PTSD), major depressive disorder (MDD), and substance abuse. Lifetime diagnosis of extreme obesity (BMI &gt; 40) was strongly associated with history of rape, childhood sexual abuse, childhood abuse, and current and lifetime PTSD in comparison to all other BMI groups.  </w:t>
      </w:r>
      <w:r w:rsidDel="00000000" w:rsidR="00000000" w:rsidRPr="00000000">
        <w:rPr>
          <w:rFonts w:ascii="Century Gothic" w:cs="Century Gothic" w:eastAsia="Century Gothic" w:hAnsi="Century Gothic"/>
          <w:i w:val="1"/>
          <w:sz w:val="20"/>
          <w:szCs w:val="20"/>
          <w:rtl w:val="0"/>
        </w:rPr>
        <w:t xml:space="preserve">(Brewerton, T.D., O’Neil, P., Dansky, B., Kilpatrick, D., (2015) Eating Disorders, Extreme Obesity and its Associations with Victimization, PTSD, Major Depression and Eating Disorders in a National Sample of Women. Journal of Obesity &amp; Eating Disorders, Vol 1 No 2:6)</w:t>
      </w:r>
      <w:r w:rsidDel="00000000" w:rsidR="00000000" w:rsidRPr="00000000">
        <w:rPr>
          <w:rtl w:val="0"/>
        </w:rPr>
      </w:r>
    </w:p>
    <w:p w:rsidR="00000000" w:rsidDel="00000000" w:rsidP="00000000" w:rsidRDefault="00000000" w:rsidRPr="00000000" w14:paraId="0000009D">
      <w:pPr>
        <w:numPr>
          <w:ilvl w:val="0"/>
          <w:numId w:val="2"/>
        </w:numPr>
        <w:ind w:left="720" w:hanging="360"/>
        <w:jc w:val="both"/>
        <w:rPr/>
      </w:pPr>
      <w:r w:rsidDel="00000000" w:rsidR="00000000" w:rsidRPr="00000000">
        <w:rPr>
          <w:rFonts w:ascii="Century Gothic" w:cs="Century Gothic" w:eastAsia="Century Gothic" w:hAnsi="Century Gothic"/>
          <w:sz w:val="20"/>
          <w:szCs w:val="20"/>
          <w:rtl w:val="0"/>
        </w:rPr>
        <w:t xml:space="preserve">Data from multiple sources have converged over the past several decades to support the idea that </w:t>
      </w:r>
      <w:r w:rsidDel="00000000" w:rsidR="00000000" w:rsidRPr="00000000">
        <w:rPr>
          <w:rFonts w:ascii="Century Gothic" w:cs="Century Gothic" w:eastAsia="Century Gothic" w:hAnsi="Century Gothic"/>
          <w:b w:val="1"/>
          <w:sz w:val="20"/>
          <w:szCs w:val="20"/>
          <w:rtl w:val="0"/>
        </w:rPr>
        <w:t xml:space="preserve">exposure to severe adversity, especially during childhood, can plan an individual at increased risk of subsequently development psychiatric and medical disorders, including substance use disorders, eating disorders and all related comorbidity</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i w:val="1"/>
          <w:sz w:val="20"/>
          <w:szCs w:val="20"/>
          <w:rtl w:val="0"/>
        </w:rPr>
        <w:t xml:space="preserve">(Brady, Killeen, Brewerton, &amp; Lucerini, 2000: Brewerton, 2004, 2007; Dansky, Brewerton, O’Neil, &amp; Kilpatrick, 1997; Felitti et. al., 1998; Kessler, 2000; Kessler, Davis &amp; Kendler, 1997; Kessler, Sonnega, Bromet, Hughes, &amp; Nelson, 1995; Wonderlich, Brewerton, Jocic, Dansky, &amp; Abbott, 1997)</w:t>
      </w:r>
      <w:r w:rsidDel="00000000" w:rsidR="00000000" w:rsidRPr="00000000">
        <w:rPr>
          <w:rFonts w:ascii="Century Gothic" w:cs="Century Gothic" w:eastAsia="Century Gothic" w:hAnsi="Century Gothic"/>
          <w:sz w:val="20"/>
          <w:szCs w:val="20"/>
          <w:rtl w:val="0"/>
        </w:rPr>
        <w:t xml:space="preserve">.</w:t>
      </w:r>
    </w:p>
    <w:p w:rsidR="00000000" w:rsidDel="00000000" w:rsidP="00000000" w:rsidRDefault="00000000" w:rsidRPr="00000000" w14:paraId="0000009E">
      <w:pPr>
        <w:numPr>
          <w:ilvl w:val="0"/>
          <w:numId w:val="2"/>
        </w:numPr>
        <w:ind w:left="720" w:hanging="360"/>
        <w:jc w:val="both"/>
        <w:rPr/>
      </w:pPr>
      <w:r w:rsidDel="00000000" w:rsidR="00000000" w:rsidRPr="00000000">
        <w:rPr>
          <w:rFonts w:ascii="Century Gothic" w:cs="Century Gothic" w:eastAsia="Century Gothic" w:hAnsi="Century Gothic"/>
          <w:sz w:val="20"/>
          <w:szCs w:val="20"/>
          <w:rtl w:val="0"/>
        </w:rPr>
        <w:t xml:space="preserve">Much has been learned about the psychoneurobiology of stress response, trauma and PTSD and associated comorbidity over the last several years.  </w:t>
      </w:r>
      <w:r w:rsidDel="00000000" w:rsidR="00000000" w:rsidRPr="00000000">
        <w:rPr>
          <w:rFonts w:ascii="Century Gothic" w:cs="Century Gothic" w:eastAsia="Century Gothic" w:hAnsi="Century Gothic"/>
          <w:b w:val="1"/>
          <w:sz w:val="20"/>
          <w:szCs w:val="20"/>
          <w:rtl w:val="0"/>
        </w:rPr>
        <w:t xml:space="preserve">Trauma and in particular PTSD predispose toward both addictions and eating disorders, particularly bulimic-spectrum disorders</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i w:val="1"/>
          <w:sz w:val="20"/>
          <w:szCs w:val="20"/>
          <w:rtl w:val="0"/>
        </w:rPr>
        <w:t xml:space="preserve">(Brady, K., Brewerton, T., The Role of Stress, Trauma and PTSD in the Etiology and Treatment of Eating Disorders, Addictions and Substance Use Disorders.  Eating Disorders, Addictions and Substance Use Disorders, DOI 10.1007/978-3-642-45378-6_17, Springer-Verlag Berlin Heidelberg 2014.  TD Brewerton and AB Dennis (eds.))</w:t>
      </w:r>
      <w:r w:rsidDel="00000000" w:rsidR="00000000" w:rsidRPr="00000000">
        <w:rPr>
          <w:rtl w:val="0"/>
        </w:rPr>
      </w:r>
    </w:p>
    <w:p w:rsidR="00000000" w:rsidDel="00000000" w:rsidP="00000000" w:rsidRDefault="00000000" w:rsidRPr="00000000" w14:paraId="0000009F">
      <w:pPr>
        <w:numPr>
          <w:ilvl w:val="0"/>
          <w:numId w:val="2"/>
        </w:numPr>
        <w:ind w:left="720" w:hanging="360"/>
        <w:jc w:val="both"/>
        <w:rPr/>
      </w:pPr>
      <w:r w:rsidDel="00000000" w:rsidR="00000000" w:rsidRPr="00000000">
        <w:rPr>
          <w:rFonts w:ascii="Century Gothic" w:cs="Century Gothic" w:eastAsia="Century Gothic" w:hAnsi="Century Gothic"/>
          <w:b w:val="1"/>
          <w:sz w:val="20"/>
          <w:szCs w:val="20"/>
          <w:rtl w:val="0"/>
        </w:rPr>
        <w:t xml:space="preserve">Rates of dieting among adolescent girls are estimated at 60 and 70 percent, as reported by a 2006 study by Drs. James D. Lock and Daniel Le Grange. </w:t>
      </w:r>
      <w:r w:rsidDel="00000000" w:rsidR="00000000" w:rsidRPr="00000000">
        <w:rPr>
          <w:rFonts w:ascii="Century Gothic" w:cs="Century Gothic" w:eastAsia="Century Gothic" w:hAnsi="Century Gothic"/>
          <w:sz w:val="20"/>
          <w:szCs w:val="20"/>
          <w:rtl w:val="0"/>
        </w:rPr>
        <w:t xml:space="preserve">(</w:t>
      </w:r>
      <w:r w:rsidDel="00000000" w:rsidR="00000000" w:rsidRPr="00000000">
        <w:rPr>
          <w:rFonts w:ascii="Century Gothic" w:cs="Century Gothic" w:eastAsia="Century Gothic" w:hAnsi="Century Gothic"/>
          <w:i w:val="1"/>
          <w:sz w:val="20"/>
          <w:szCs w:val="20"/>
          <w:rtl w:val="0"/>
        </w:rPr>
        <w:t xml:space="preserve">HELP YOUR TEENAGER BEAT AN EATING DISORDER by James Lock, MD, Ph.D. and Daniel Le Grange, Ph.D., p.132-33)</w:t>
      </w:r>
      <w:r w:rsidDel="00000000" w:rsidR="00000000" w:rsidRPr="00000000">
        <w:rPr>
          <w:rtl w:val="0"/>
        </w:rPr>
      </w:r>
    </w:p>
    <w:p w:rsidR="00000000" w:rsidDel="00000000" w:rsidP="00000000" w:rsidRDefault="00000000" w:rsidRPr="00000000" w14:paraId="000000A0">
      <w:pPr>
        <w:numPr>
          <w:ilvl w:val="0"/>
          <w:numId w:val="2"/>
        </w:numPr>
        <w:ind w:left="720" w:hanging="360"/>
        <w:jc w:val="both"/>
        <w:rPr/>
      </w:pPr>
      <w:r w:rsidDel="00000000" w:rsidR="00000000" w:rsidRPr="00000000">
        <w:rPr>
          <w:rFonts w:ascii="Century Gothic" w:cs="Century Gothic" w:eastAsia="Century Gothic" w:hAnsi="Century Gothic"/>
          <w:b w:val="1"/>
          <w:sz w:val="20"/>
          <w:szCs w:val="20"/>
          <w:rtl w:val="0"/>
        </w:rPr>
        <w:t xml:space="preserve">35% - 40% of dieters will develop an eating disorder.</w:t>
      </w:r>
      <w:r w:rsidDel="00000000" w:rsidR="00000000" w:rsidRPr="00000000">
        <w:rPr>
          <w:rtl w:val="0"/>
        </w:rPr>
      </w:r>
    </w:p>
    <w:p w:rsidR="00000000" w:rsidDel="00000000" w:rsidP="00000000" w:rsidRDefault="00000000" w:rsidRPr="00000000" w14:paraId="000000A1">
      <w:pPr>
        <w:numPr>
          <w:ilvl w:val="0"/>
          <w:numId w:val="2"/>
        </w:numPr>
        <w:ind w:left="720" w:hanging="360"/>
        <w:jc w:val="both"/>
        <w:rPr/>
      </w:pPr>
      <w:r w:rsidDel="00000000" w:rsidR="00000000" w:rsidRPr="00000000">
        <w:rPr>
          <w:rFonts w:ascii="Century Gothic" w:cs="Century Gothic" w:eastAsia="Century Gothic" w:hAnsi="Century Gothic"/>
          <w:b w:val="1"/>
          <w:sz w:val="20"/>
          <w:szCs w:val="20"/>
          <w:rtl w:val="0"/>
        </w:rPr>
        <w:t xml:space="preserve">Eating disorders are increasing among diverse ethnic and sociocultural communities</w:t>
      </w:r>
      <w:r w:rsidDel="00000000" w:rsidR="00000000" w:rsidRPr="00000000">
        <w:rPr>
          <w:rFonts w:ascii="Century Gothic" w:cs="Century Gothic" w:eastAsia="Century Gothic" w:hAnsi="Century Gothic"/>
          <w:sz w:val="20"/>
          <w:szCs w:val="20"/>
          <w:rtl w:val="0"/>
        </w:rPr>
        <w:t xml:space="preserve">, despite the erroneous beliefs that this only affects Caucasian teens.</w:t>
      </w:r>
    </w:p>
    <w:p w:rsidR="00000000" w:rsidDel="00000000" w:rsidP="00000000" w:rsidRDefault="00000000" w:rsidRPr="00000000" w14:paraId="000000A2">
      <w:pPr>
        <w:numPr>
          <w:ilvl w:val="0"/>
          <w:numId w:val="2"/>
        </w:numPr>
        <w:ind w:left="720" w:hanging="360"/>
        <w:jc w:val="both"/>
        <w:rPr/>
      </w:pPr>
      <w:r w:rsidDel="00000000" w:rsidR="00000000" w:rsidRPr="00000000">
        <w:rPr>
          <w:rFonts w:ascii="Century Gothic" w:cs="Century Gothic" w:eastAsia="Century Gothic" w:hAnsi="Century Gothic"/>
          <w:sz w:val="20"/>
          <w:szCs w:val="20"/>
          <w:rtl w:val="0"/>
        </w:rPr>
        <w:t xml:space="preserve">Between </w:t>
      </w:r>
      <w:r w:rsidDel="00000000" w:rsidR="00000000" w:rsidRPr="00000000">
        <w:rPr>
          <w:rFonts w:ascii="Century Gothic" w:cs="Century Gothic" w:eastAsia="Century Gothic" w:hAnsi="Century Gothic"/>
          <w:b w:val="1"/>
          <w:sz w:val="20"/>
          <w:szCs w:val="20"/>
          <w:rtl w:val="0"/>
        </w:rPr>
        <w:t xml:space="preserve">30% to 50% of those in treatment for obesity may be struggling with ANY of the eating disorders, including binge eating disorder or restrictive disorders</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i w:val="1"/>
          <w:sz w:val="20"/>
          <w:szCs w:val="20"/>
          <w:rtl w:val="0"/>
        </w:rPr>
        <w:t xml:space="preserve">(Binge Eating Disorder Association)</w:t>
      </w:r>
      <w:r w:rsidDel="00000000" w:rsidR="00000000" w:rsidRPr="00000000">
        <w:rPr>
          <w:rtl w:val="0"/>
        </w:rPr>
      </w:r>
    </w:p>
    <w:p w:rsidR="00000000" w:rsidDel="00000000" w:rsidP="00000000" w:rsidRDefault="00000000" w:rsidRPr="00000000" w14:paraId="000000A3">
      <w:pPr>
        <w:numPr>
          <w:ilvl w:val="0"/>
          <w:numId w:val="2"/>
        </w:numPr>
        <w:ind w:left="720" w:hanging="360"/>
        <w:jc w:val="both"/>
        <w:rPr/>
      </w:pPr>
      <w:r w:rsidDel="00000000" w:rsidR="00000000" w:rsidRPr="00000000">
        <w:rPr>
          <w:rFonts w:ascii="Century Gothic" w:cs="Century Gothic" w:eastAsia="Century Gothic" w:hAnsi="Century Gothic"/>
          <w:b w:val="1"/>
          <w:sz w:val="20"/>
          <w:szCs w:val="20"/>
          <w:rtl w:val="0"/>
        </w:rPr>
        <w:t xml:space="preserve">Dieting</w:t>
      </w:r>
      <w:r w:rsidDel="00000000" w:rsidR="00000000" w:rsidRPr="00000000">
        <w:rPr>
          <w:rFonts w:ascii="Century Gothic" w:cs="Century Gothic" w:eastAsia="Century Gothic" w:hAnsi="Century Gothic"/>
          <w:sz w:val="20"/>
          <w:szCs w:val="20"/>
          <w:rtl w:val="0"/>
        </w:rPr>
        <w:t xml:space="preserve"> and </w:t>
      </w:r>
      <w:r w:rsidDel="00000000" w:rsidR="00000000" w:rsidRPr="00000000">
        <w:rPr>
          <w:rFonts w:ascii="Century Gothic" w:cs="Century Gothic" w:eastAsia="Century Gothic" w:hAnsi="Century Gothic"/>
          <w:b w:val="1"/>
          <w:sz w:val="20"/>
          <w:szCs w:val="20"/>
          <w:rtl w:val="0"/>
        </w:rPr>
        <w:t xml:space="preserve">exercise</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b w:val="1"/>
          <w:sz w:val="20"/>
          <w:szCs w:val="20"/>
          <w:rtl w:val="0"/>
        </w:rPr>
        <w:t xml:space="preserve">are NOT the best treatment interventions</w:t>
      </w:r>
      <w:r w:rsidDel="00000000" w:rsidR="00000000" w:rsidRPr="00000000">
        <w:rPr>
          <w:rFonts w:ascii="Century Gothic" w:cs="Century Gothic" w:eastAsia="Century Gothic" w:hAnsi="Century Gothic"/>
          <w:sz w:val="20"/>
          <w:szCs w:val="20"/>
          <w:rtl w:val="0"/>
        </w:rPr>
        <w:t xml:space="preserve"> for those with eating disorders, including binge eating disorder. </w:t>
      </w:r>
      <w:r w:rsidDel="00000000" w:rsidR="00000000" w:rsidRPr="00000000">
        <w:rPr>
          <w:rFonts w:ascii="Century Gothic" w:cs="Century Gothic" w:eastAsia="Century Gothic" w:hAnsi="Century Gothic"/>
          <w:i w:val="1"/>
          <w:sz w:val="20"/>
          <w:szCs w:val="20"/>
          <w:rtl w:val="0"/>
        </w:rPr>
        <w:t xml:space="preserve">(Craig Johnson, Ph.D., FAED, CEDS, Clinical Director, Eating Recovery Center)</w:t>
      </w: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A4">
      <w:pPr>
        <w:numPr>
          <w:ilvl w:val="0"/>
          <w:numId w:val="2"/>
        </w:numPr>
        <w:ind w:left="720" w:hanging="360"/>
        <w:jc w:val="both"/>
        <w:rPr/>
      </w:pPr>
      <w:r w:rsidDel="00000000" w:rsidR="00000000" w:rsidRPr="00000000">
        <w:rPr>
          <w:rFonts w:ascii="Century Gothic" w:cs="Century Gothic" w:eastAsia="Century Gothic" w:hAnsi="Century Gothic"/>
          <w:b w:val="1"/>
          <w:sz w:val="20"/>
          <w:szCs w:val="20"/>
          <w:rtl w:val="0"/>
        </w:rPr>
        <w:t xml:space="preserve">Effective treatment for Binge Eating Disorder is similar to Bulimia</w:t>
      </w:r>
      <w:r w:rsidDel="00000000" w:rsidR="00000000" w:rsidRPr="00000000">
        <w:rPr>
          <w:rFonts w:ascii="Century Gothic" w:cs="Century Gothic" w:eastAsia="Century Gothic" w:hAnsi="Century Gothic"/>
          <w:sz w:val="20"/>
          <w:szCs w:val="20"/>
          <w:rtl w:val="0"/>
        </w:rPr>
        <w:t xml:space="preserve">.</w:t>
      </w:r>
    </w:p>
    <w:p w:rsidR="00000000" w:rsidDel="00000000" w:rsidP="00000000" w:rsidRDefault="00000000" w:rsidRPr="00000000" w14:paraId="000000A5">
      <w:pPr>
        <w:numPr>
          <w:ilvl w:val="0"/>
          <w:numId w:val="2"/>
        </w:numPr>
        <w:ind w:left="720" w:hanging="360"/>
        <w:jc w:val="both"/>
        <w:rPr>
          <w:i w:val="1"/>
        </w:rPr>
      </w:pPr>
      <w:r w:rsidDel="00000000" w:rsidR="00000000" w:rsidRPr="00000000">
        <w:rPr>
          <w:rFonts w:ascii="Century Gothic" w:cs="Century Gothic" w:eastAsia="Century Gothic" w:hAnsi="Century Gothic"/>
          <w:sz w:val="20"/>
          <w:szCs w:val="20"/>
          <w:rtl w:val="0"/>
        </w:rPr>
        <w:t xml:space="preserve">OSFED -- causes significant clinical distress or impairment in important areas of functioning but don't meet full criteria for any of the feeding or eating disorders.  Examples include: 1. Atypical Anorexia Nervosa -- Criteria for AN are met, except that despite significant weight loss, weight is still within the normal or above normal range. 2. Low frequency and/or limited duration Bulimia Nervosa -- All criteria for BN are met except binge eating and compensatory behaviors occur on average less than once per week and/or for less than 3 months. 3. Low frequency and/or limited duration BED -- Binge eating occurs on average less than once per week and/or for less than 3 months. 4. Purging disorder -- Recurrent purging behavior (vomiting, laxatives, diuretics, other medications) to influence body shape or weight in the absence of binge episodes.5. Night Eating Syndrome --  episodes of eating after awakening from sleep or excessive food consumption after the evening meal.  There is awareness and recall of the eating episodes.  It is not due to changes in sleep-wake cycles, social norms, binge eating disorder, a medical disorder or effect of a medication.</w:t>
      </w:r>
      <w:r w:rsidDel="00000000" w:rsidR="00000000" w:rsidRPr="00000000">
        <w:rPr>
          <w:rtl w:val="0"/>
        </w:rPr>
      </w:r>
    </w:p>
    <w:p w:rsidR="00000000" w:rsidDel="00000000" w:rsidP="00000000" w:rsidRDefault="00000000" w:rsidRPr="00000000" w14:paraId="000000A6">
      <w:pPr>
        <w:numPr>
          <w:ilvl w:val="0"/>
          <w:numId w:val="2"/>
        </w:numPr>
        <w:ind w:left="720" w:hanging="360"/>
        <w:jc w:val="both"/>
        <w:rPr>
          <w:i w:val="1"/>
        </w:rPr>
      </w:pPr>
      <w:r w:rsidDel="00000000" w:rsidR="00000000" w:rsidRPr="00000000">
        <w:rPr>
          <w:rFonts w:ascii="Century Gothic" w:cs="Century Gothic" w:eastAsia="Century Gothic" w:hAnsi="Century Gothic"/>
          <w:b w:val="1"/>
          <w:i w:val="1"/>
          <w:sz w:val="20"/>
          <w:szCs w:val="20"/>
          <w:rtl w:val="0"/>
        </w:rPr>
        <w:t xml:space="preserve">Primary prevention</w:t>
      </w:r>
      <w:r w:rsidDel="00000000" w:rsidR="00000000" w:rsidRPr="00000000">
        <w:rPr>
          <w:rFonts w:ascii="Century Gothic" w:cs="Century Gothic" w:eastAsia="Century Gothic" w:hAnsi="Century Gothic"/>
          <w:sz w:val="20"/>
          <w:szCs w:val="20"/>
          <w:rtl w:val="0"/>
        </w:rPr>
        <w:t xml:space="preserve"> refers to attempts to reduce the occurrence of new cases of a specific disorder. </w:t>
      </w:r>
      <w:r w:rsidDel="00000000" w:rsidR="00000000" w:rsidRPr="00000000">
        <w:rPr>
          <w:rFonts w:ascii="Century Gothic" w:cs="Century Gothic" w:eastAsia="Century Gothic" w:hAnsi="Century Gothic"/>
          <w:b w:val="1"/>
          <w:i w:val="1"/>
          <w:sz w:val="20"/>
          <w:szCs w:val="20"/>
          <w:rtl w:val="0"/>
        </w:rPr>
        <w:t xml:space="preserve">Secondary prevention</w:t>
      </w:r>
      <w:r w:rsidDel="00000000" w:rsidR="00000000" w:rsidRPr="00000000">
        <w:rPr>
          <w:rFonts w:ascii="Century Gothic" w:cs="Century Gothic" w:eastAsia="Century Gothic" w:hAnsi="Century Gothic"/>
          <w:sz w:val="20"/>
          <w:szCs w:val="20"/>
          <w:rtl w:val="0"/>
        </w:rPr>
        <w:t xml:space="preserve"> refers to the early identification of individuals at risk and to interventions that aim to arrest the development of a full-blown disorder.  </w:t>
      </w:r>
      <w:r w:rsidDel="00000000" w:rsidR="00000000" w:rsidRPr="00000000">
        <w:rPr>
          <w:rFonts w:ascii="Century Gothic" w:cs="Century Gothic" w:eastAsia="Century Gothic" w:hAnsi="Century Gothic"/>
          <w:b w:val="1"/>
          <w:i w:val="1"/>
          <w:sz w:val="20"/>
          <w:szCs w:val="20"/>
          <w:rtl w:val="0"/>
        </w:rPr>
        <w:t xml:space="preserve">Tertiary prevention</w:t>
      </w:r>
      <w:r w:rsidDel="00000000" w:rsidR="00000000" w:rsidRPr="00000000">
        <w:rPr>
          <w:rFonts w:ascii="Century Gothic" w:cs="Century Gothic" w:eastAsia="Century Gothic" w:hAnsi="Century Gothic"/>
          <w:sz w:val="20"/>
          <w:szCs w:val="20"/>
          <w:rtl w:val="0"/>
        </w:rPr>
        <w:t xml:space="preserve"> involves the prompt identification and treatment of individuals who have developed the full syndrome.  Effective prevention in the field of eating disorders requires a collaborative endeavor within and across all three levels. </w:t>
      </w:r>
      <w:r w:rsidDel="00000000" w:rsidR="00000000" w:rsidRPr="00000000">
        <w:rPr>
          <w:rFonts w:ascii="Century Gothic" w:cs="Century Gothic" w:eastAsia="Century Gothic" w:hAnsi="Century Gothic"/>
          <w:i w:val="1"/>
          <w:sz w:val="20"/>
          <w:szCs w:val="20"/>
          <w:rtl w:val="0"/>
        </w:rPr>
        <w:t xml:space="preserve">(Preventing Eating Disorders, A Handbook of Interventions and Special Challenges.  Piran, N., Levine, M., Steiner-Adair, C., eds.  Routledge 1999, 2014.)</w:t>
      </w:r>
    </w:p>
    <w:p w:rsidR="00000000" w:rsidDel="00000000" w:rsidP="00000000" w:rsidRDefault="00000000" w:rsidRPr="00000000" w14:paraId="000000A7">
      <w:pPr>
        <w:rPr>
          <w:rFonts w:ascii="Milonga" w:cs="Milonga" w:eastAsia="Milonga" w:hAnsi="Milonga"/>
          <w:i w:val="1"/>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A8">
      <w:pPr>
        <w:jc w:val="center"/>
        <w:rPr>
          <w:rFonts w:ascii="Milonga" w:cs="Milonga" w:eastAsia="Milonga" w:hAnsi="Milonga"/>
          <w:i w:val="1"/>
          <w:sz w:val="44"/>
          <w:szCs w:val="44"/>
        </w:rPr>
      </w:pPr>
      <w:r w:rsidDel="00000000" w:rsidR="00000000" w:rsidRPr="00000000">
        <w:rPr>
          <w:rFonts w:ascii="Milonga" w:cs="Milonga" w:eastAsia="Milonga" w:hAnsi="Milonga"/>
          <w:i w:val="1"/>
          <w:sz w:val="44"/>
          <w:szCs w:val="44"/>
          <w:rtl w:val="0"/>
        </w:rPr>
        <w:t xml:space="preserve">References</w:t>
      </w:r>
    </w:p>
    <w:p w:rsidR="00000000" w:rsidDel="00000000" w:rsidP="00000000" w:rsidRDefault="00000000" w:rsidRPr="00000000" w14:paraId="000000A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Eating disorders risk factors. (2015, April 24). Retrieved June 20, 2016, from</w:t>
      </w:r>
    </w:p>
    <w:p w:rsidR="00000000" w:rsidDel="00000000" w:rsidP="00000000" w:rsidRDefault="00000000" w:rsidRPr="00000000" w14:paraId="000000AA">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http://www.nedc.com.au/risk-factors</w:t>
      </w:r>
    </w:p>
    <w:p w:rsidR="00000000" w:rsidDel="00000000" w:rsidP="00000000" w:rsidRDefault="00000000" w:rsidRPr="00000000" w14:paraId="000000A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Preventing eating disorders. (2015, June 29). Retrieved June 7, 2016, from</w:t>
      </w:r>
    </w:p>
    <w:p w:rsidR="00000000" w:rsidDel="00000000" w:rsidP="00000000" w:rsidRDefault="00000000" w:rsidRPr="00000000" w14:paraId="000000A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http://www.nedc.com.au/preventing-eating-disorders</w:t>
      </w:r>
    </w:p>
    <w:p w:rsidR="00000000" w:rsidDel="00000000" w:rsidP="00000000" w:rsidRDefault="00000000" w:rsidRPr="00000000" w14:paraId="000000AD">
      <w:pPr>
        <w:rPr>
          <w:rFonts w:ascii="Century Gothic" w:cs="Century Gothic" w:eastAsia="Century Gothic" w:hAnsi="Century Gothic"/>
          <w:i w:val="1"/>
        </w:rPr>
      </w:pPr>
      <w:r w:rsidDel="00000000" w:rsidR="00000000" w:rsidRPr="00000000">
        <w:rPr>
          <w:rFonts w:ascii="Century Gothic" w:cs="Century Gothic" w:eastAsia="Century Gothic" w:hAnsi="Century Gothic"/>
          <w:rtl w:val="0"/>
        </w:rPr>
        <w:t xml:space="preserve">Levine, M.P. (2015). Does prevention work (and is this even a fair question)?</w:t>
      </w:r>
      <w:r w:rsidDel="00000000" w:rsidR="00000000" w:rsidRPr="00000000">
        <w:rPr>
          <w:rFonts w:ascii="Century Gothic" w:cs="Century Gothic" w:eastAsia="Century Gothic" w:hAnsi="Century Gothic"/>
          <w:i w:val="1"/>
          <w:rtl w:val="0"/>
        </w:rPr>
        <w:t xml:space="preserve"> Gurze-Salucore Online Catalogue, </w:t>
      </w:r>
      <w:r w:rsidDel="00000000" w:rsidR="00000000" w:rsidRPr="00000000">
        <w:rPr>
          <w:rFonts w:ascii="Century Gothic" w:cs="Century Gothic" w:eastAsia="Century Gothic" w:hAnsi="Century Gothic"/>
          <w:rtl w:val="0"/>
        </w:rPr>
        <w:t xml:space="preserve">http://www.edcatalogue.com/does-prevention-work/</w:t>
      </w:r>
      <w:r w:rsidDel="00000000" w:rsidR="00000000" w:rsidRPr="00000000">
        <w:rPr>
          <w:rtl w:val="0"/>
        </w:rPr>
      </w:r>
    </w:p>
    <w:p w:rsidR="00000000" w:rsidDel="00000000" w:rsidP="00000000" w:rsidRDefault="00000000" w:rsidRPr="00000000" w14:paraId="000000AE">
      <w:pPr>
        <w:rPr>
          <w:rFonts w:ascii="Century Gothic" w:cs="Century Gothic" w:eastAsia="Century Gothic" w:hAnsi="Century Gothic"/>
          <w:i w:val="1"/>
        </w:rPr>
      </w:pPr>
      <w:r w:rsidDel="00000000" w:rsidR="00000000" w:rsidRPr="00000000">
        <w:rPr>
          <w:rFonts w:ascii="Century Gothic" w:cs="Century Gothic" w:eastAsia="Century Gothic" w:hAnsi="Century Gothic"/>
          <w:rtl w:val="0"/>
        </w:rPr>
        <w:t xml:space="preserve">Levine, M.P., &amp; Smolak, L. (2006). </w:t>
      </w:r>
      <w:r w:rsidDel="00000000" w:rsidR="00000000" w:rsidRPr="00000000">
        <w:rPr>
          <w:rFonts w:ascii="Century Gothic" w:cs="Century Gothic" w:eastAsia="Century Gothic" w:hAnsi="Century Gothic"/>
          <w:i w:val="1"/>
          <w:rtl w:val="0"/>
        </w:rPr>
        <w:t xml:space="preserve">The prevention of eating problems and eating disorders: Theory, research, and practice. </w:t>
      </w:r>
      <w:r w:rsidDel="00000000" w:rsidR="00000000" w:rsidRPr="00000000">
        <w:rPr>
          <w:rFonts w:ascii="Century Gothic" w:cs="Century Gothic" w:eastAsia="Century Gothic" w:hAnsi="Century Gothic"/>
          <w:rtl w:val="0"/>
        </w:rPr>
        <w:t xml:space="preserve">Mahwah, NJ: Lawrence Erlbaum Associates.</w:t>
      </w:r>
      <w:r w:rsidDel="00000000" w:rsidR="00000000" w:rsidRPr="00000000">
        <w:rPr>
          <w:rtl w:val="0"/>
        </w:rPr>
      </w:r>
    </w:p>
    <w:p w:rsidR="00000000" w:rsidDel="00000000" w:rsidP="00000000" w:rsidRDefault="00000000" w:rsidRPr="00000000" w14:paraId="000000A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Piran, N. (2010). A feminist perspective on risk factor research and on the prevention of eating disorders. </w:t>
      </w:r>
      <w:r w:rsidDel="00000000" w:rsidR="00000000" w:rsidRPr="00000000">
        <w:rPr>
          <w:rFonts w:ascii="Century Gothic" w:cs="Century Gothic" w:eastAsia="Century Gothic" w:hAnsi="Century Gothic"/>
          <w:i w:val="1"/>
          <w:rtl w:val="0"/>
        </w:rPr>
        <w:t xml:space="preserve">Eating disorders: The Journal of Treatment and Prevention, 18, </w:t>
      </w:r>
      <w:r w:rsidDel="00000000" w:rsidR="00000000" w:rsidRPr="00000000">
        <w:rPr>
          <w:rFonts w:ascii="Century Gothic" w:cs="Century Gothic" w:eastAsia="Century Gothic" w:hAnsi="Century Gothic"/>
          <w:rtl w:val="0"/>
        </w:rPr>
        <w:t xml:space="preserve">183-198.</w:t>
      </w:r>
    </w:p>
    <w:p w:rsidR="00000000" w:rsidDel="00000000" w:rsidP="00000000" w:rsidRDefault="00000000" w:rsidRPr="00000000" w14:paraId="000000B0">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Pryor, L., Brendgen, M., Boivin, M., Dubois, L., Japel, C., Falissard, B., Tremblay, R.E., &amp; Cote, S.M. (2016).</w:t>
      </w:r>
    </w:p>
    <w:p w:rsidR="00000000" w:rsidDel="00000000" w:rsidP="00000000" w:rsidRDefault="00000000" w:rsidRPr="00000000" w14:paraId="000000B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Overweight during childhood and internalizing symptoms in early adolescence: The mediating role of peer victimization and the desire to be thinner. </w:t>
      </w:r>
      <w:r w:rsidDel="00000000" w:rsidR="00000000" w:rsidRPr="00000000">
        <w:rPr>
          <w:rFonts w:ascii="Century Gothic" w:cs="Century Gothic" w:eastAsia="Century Gothic" w:hAnsi="Century Gothic"/>
          <w:i w:val="1"/>
          <w:rtl w:val="0"/>
        </w:rPr>
        <w:t xml:space="preserve">Journal of Affective Disorders, 202, </w:t>
      </w:r>
      <w:r w:rsidDel="00000000" w:rsidR="00000000" w:rsidRPr="00000000">
        <w:rPr>
          <w:rFonts w:ascii="Century Gothic" w:cs="Century Gothic" w:eastAsia="Century Gothic" w:hAnsi="Century Gothic"/>
          <w:rtl w:val="0"/>
        </w:rPr>
        <w:t xml:space="preserve">203-209, </w:t>
      </w:r>
      <w:hyperlink r:id="rId10">
        <w:r w:rsidDel="00000000" w:rsidR="00000000" w:rsidRPr="00000000">
          <w:rPr>
            <w:rFonts w:ascii="Century Gothic" w:cs="Century Gothic" w:eastAsia="Century Gothic" w:hAnsi="Century Gothic"/>
            <w:color w:val="0563c1"/>
            <w:u w:val="single"/>
            <w:rtl w:val="0"/>
          </w:rPr>
          <w:t xml:space="preserve">http://dx.doi.org/10.1016/j.jad.2016.05.022</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B2">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B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For more research and fact sheets, please visit the Maiya Sharpen app and attend the eating disorders modules in the HEAL section.</w:t>
      </w:r>
    </w:p>
    <w:p w:rsidR="00000000" w:rsidDel="00000000" w:rsidP="00000000" w:rsidRDefault="00000000" w:rsidRPr="00000000" w14:paraId="000000B4">
      <w:pPr>
        <w:rPr>
          <w:rFonts w:ascii="Milonga" w:cs="Milonga" w:eastAsia="Milonga" w:hAnsi="Milonga"/>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B5">
      <w:pPr>
        <w:jc w:val="center"/>
        <w:rPr>
          <w:rFonts w:ascii="Milonga" w:cs="Milonga" w:eastAsia="Milonga" w:hAnsi="Milonga"/>
          <w:sz w:val="48"/>
          <w:szCs w:val="48"/>
        </w:rPr>
      </w:pPr>
      <w:r w:rsidDel="00000000" w:rsidR="00000000" w:rsidRPr="00000000">
        <w:rPr>
          <w:rFonts w:ascii="Milonga" w:cs="Milonga" w:eastAsia="Milonga" w:hAnsi="Milonga"/>
          <w:sz w:val="48"/>
          <w:szCs w:val="48"/>
          <w:rtl w:val="0"/>
        </w:rPr>
        <w:t xml:space="preserve">Resources</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60" w:line="276" w:lineRule="auto"/>
        <w:ind w:left="1440" w:right="0" w:hanging="720"/>
        <w:jc w:val="both"/>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NATIONAL EATING DISORDER TREATMENT CENTERS</w:t>
      </w:r>
    </w:p>
    <w:p w:rsidR="00000000" w:rsidDel="00000000" w:rsidP="00000000" w:rsidRDefault="00000000" w:rsidRPr="00000000" w14:paraId="000000B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Columbia University Medical Center Eating Disorders Treatment</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(Evelyn Attia) -- http://www.columbiapsychiatry.org/clinicalservices/eating-disorders 212.543.5739) (opportunity for free treatment in exchange for research participation)</w:t>
      </w:r>
    </w:p>
    <w:p w:rsidR="00000000" w:rsidDel="00000000" w:rsidP="00000000" w:rsidRDefault="00000000" w:rsidRPr="00000000" w14:paraId="000000B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Reasons Eating Disorder Center (Los Angeles, CA – Norman Kim, Ph.D.)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www.ReasonsEDC.com</w:t>
      </w:r>
      <w:r w:rsidDel="00000000" w:rsidR="00000000" w:rsidRPr="00000000">
        <w:rPr>
          <w:rtl w:val="0"/>
        </w:rPr>
      </w:r>
    </w:p>
    <w:p w:rsidR="00000000" w:rsidDel="00000000" w:rsidP="00000000" w:rsidRDefault="00000000" w:rsidRPr="00000000" w14:paraId="000000B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Veritas Collaborative (Durham, NC – Chase Bannister, MDiv, MSW, LCSW, CEDS)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http://veritascollaborative.com</w:t>
      </w:r>
      <w:r w:rsidDel="00000000" w:rsidR="00000000" w:rsidRPr="00000000">
        <w:rPr>
          <w:rtl w:val="0"/>
        </w:rPr>
      </w:r>
    </w:p>
    <w:p w:rsidR="00000000" w:rsidDel="00000000" w:rsidP="00000000" w:rsidRDefault="00000000" w:rsidRPr="00000000" w14:paraId="000000B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UNC Center for Excellence in Eating Disorders (Chapel Hill, NC – Cindy Bulik, PhD, FAED)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http://www.med.unc.edu/psych/eatingdisorders</w:t>
      </w: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60" w:line="276" w:lineRule="auto"/>
        <w:ind w:left="1440" w:right="0" w:hanging="720"/>
        <w:jc w:val="both"/>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60" w:line="276" w:lineRule="auto"/>
        <w:ind w:left="1440" w:right="0" w:hanging="720"/>
        <w:jc w:val="both"/>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LEGAL SUPPORT and ERISA / INSURANCE EXPERT:</w:t>
      </w:r>
    </w:p>
    <w:p w:rsidR="00000000" w:rsidDel="00000000" w:rsidP="00000000" w:rsidRDefault="00000000" w:rsidRPr="00000000" w14:paraId="000000B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Kantor &amp; Kantor Law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Lisa Kantor fights insurance for families   www.kantorlaw.net</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60" w:line="276" w:lineRule="auto"/>
        <w:ind w:left="1440" w:right="0" w:hanging="720"/>
        <w:jc w:val="both"/>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60" w:line="276" w:lineRule="auto"/>
        <w:ind w:left="1440" w:right="0" w:hanging="720"/>
        <w:jc w:val="both"/>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EATING DISORDER SUPPORT AND INFORMATIONAL ORGANIZATIONS:</w:t>
      </w:r>
    </w:p>
    <w:p w:rsidR="00000000" w:rsidDel="00000000" w:rsidP="00000000" w:rsidRDefault="00000000" w:rsidRPr="00000000" w14:paraId="000000C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AED</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 Academy for Eating Disorders – www.AEDWeb.org</w:t>
      </w:r>
    </w:p>
    <w:p w:rsidR="00000000" w:rsidDel="00000000" w:rsidP="00000000" w:rsidRDefault="00000000" w:rsidRPr="00000000" w14:paraId="000000C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BEDA</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 BINGE EATING DISORDER ASSOCIATION – www.BedaOnline.com </w:t>
      </w:r>
    </w:p>
    <w:p w:rsidR="00000000" w:rsidDel="00000000" w:rsidP="00000000" w:rsidRDefault="00000000" w:rsidRPr="00000000" w14:paraId="000000C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IAEDP</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 International Association of Eating Disorders Professionals – www.iaedp.com </w:t>
      </w:r>
    </w:p>
    <w:p w:rsidR="00000000" w:rsidDel="00000000" w:rsidP="00000000" w:rsidRDefault="00000000" w:rsidRPr="00000000" w14:paraId="000000C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NATIONAL EATING DISORDERS ASSOCIATION. (Claire Mysko, CEO)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www.NationalEatingDisorders.org</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60" w:line="276" w:lineRule="auto"/>
        <w:ind w:left="1440" w:right="0" w:hanging="720"/>
        <w:jc w:val="both"/>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60" w:line="276" w:lineRule="auto"/>
        <w:ind w:left="1440" w:right="0" w:hanging="720"/>
        <w:jc w:val="both"/>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OTHER MENTAL HEALTH SUPPORT / INFORMATIONAL ORGANIZATIONS:</w:t>
      </w:r>
    </w:p>
    <w:p w:rsidR="00000000" w:rsidDel="00000000" w:rsidP="00000000" w:rsidRDefault="00000000" w:rsidRPr="00000000" w14:paraId="000000C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ASHIC --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American Self-Harm Information Clearinghouse -- www.selfinjury.org</w:t>
      </w:r>
    </w:p>
    <w:p w:rsidR="00000000" w:rsidDel="00000000" w:rsidP="00000000" w:rsidRDefault="00000000" w:rsidRPr="00000000" w14:paraId="000000C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AFSP --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American Foundation for Suicide Prevention -- www.afsp.org</w:t>
      </w:r>
    </w:p>
    <w:p w:rsidR="00000000" w:rsidDel="00000000" w:rsidP="00000000" w:rsidRDefault="00000000" w:rsidRPr="00000000" w14:paraId="000000C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DBSA --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Depression and Bipolar Support Alliance -- www.ndmda.org</w:t>
      </w:r>
    </w:p>
    <w:p w:rsidR="00000000" w:rsidDel="00000000" w:rsidP="00000000" w:rsidRDefault="00000000" w:rsidRPr="00000000" w14:paraId="000000C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SAFE --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Alternatives: Self Abuse Finally Ends -- www.selfinjury.com</w:t>
      </w:r>
    </w:p>
    <w:p w:rsidR="00000000" w:rsidDel="00000000" w:rsidP="00000000" w:rsidRDefault="00000000" w:rsidRPr="00000000" w14:paraId="000000C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MENTAL HEALTH AMERICA</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 Offers Mental Health First Aid trainings.  Nancy Holland: nholland@mha-sc.org</w:t>
      </w:r>
    </w:p>
    <w:p w:rsidR="00000000" w:rsidDel="00000000" w:rsidP="00000000" w:rsidRDefault="00000000" w:rsidRPr="00000000" w14:paraId="000000C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NATIONAL ALLIANCE FOR MENTAL ILLNESS</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 Spartanburg: https://namispartanburgsc.org, Greenville: https://namigreenvillesc.org</w:t>
      </w:r>
    </w:p>
    <w:p w:rsidR="00000000" w:rsidDel="00000000" w:rsidP="00000000" w:rsidRDefault="00000000" w:rsidRPr="00000000" w14:paraId="000000CC">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CD">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Art Therapists:</w:t>
      </w:r>
    </w:p>
    <w:p w:rsidR="00000000" w:rsidDel="00000000" w:rsidP="00000000" w:rsidRDefault="00000000" w:rsidRPr="00000000" w14:paraId="000000C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American Art Therapy Association 2012 Eating Disorders Toolkit</w:t>
      </w:r>
    </w:p>
    <w:p w:rsidR="00000000" w:rsidDel="00000000" w:rsidP="00000000" w:rsidRDefault="00000000" w:rsidRPr="00000000" w14:paraId="000000CF">
      <w:pPr>
        <w:rPr>
          <w:rFonts w:ascii="Century Gothic" w:cs="Century Gothic" w:eastAsia="Century Gothic" w:hAnsi="Century Gothic"/>
        </w:rPr>
      </w:pPr>
      <w:hyperlink r:id="rId11">
        <w:r w:rsidDel="00000000" w:rsidR="00000000" w:rsidRPr="00000000">
          <w:rPr>
            <w:rFonts w:ascii="Century Gothic" w:cs="Century Gothic" w:eastAsia="Century Gothic" w:hAnsi="Century Gothic"/>
            <w:color w:val="0563c1"/>
            <w:u w:val="single"/>
            <w:rtl w:val="0"/>
          </w:rPr>
          <w:t xml:space="preserve">http://www.normal-life.org/wp-content/uploads/2012/07/eatingdisorderstoolkit.pdf</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D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International Art Therapy Association </w:t>
      </w:r>
    </w:p>
    <w:p w:rsidR="00000000" w:rsidDel="00000000" w:rsidP="00000000" w:rsidRDefault="00000000" w:rsidRPr="00000000" w14:paraId="000000D1">
      <w:pPr>
        <w:rPr>
          <w:rFonts w:ascii="Century Gothic" w:cs="Century Gothic" w:eastAsia="Century Gothic" w:hAnsi="Century Gothic"/>
        </w:rPr>
      </w:pPr>
      <w:hyperlink r:id="rId12">
        <w:r w:rsidDel="00000000" w:rsidR="00000000" w:rsidRPr="00000000">
          <w:rPr>
            <w:rFonts w:ascii="Century Gothic" w:cs="Century Gothic" w:eastAsia="Century Gothic" w:hAnsi="Century Gothic"/>
            <w:color w:val="0563c1"/>
            <w:u w:val="single"/>
            <w:rtl w:val="0"/>
          </w:rPr>
          <w:t xml:space="preserve">http://www.ieata.org</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D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National Coalition of Creative Arts Therapies </w:t>
      </w:r>
    </w:p>
    <w:p w:rsidR="00000000" w:rsidDel="00000000" w:rsidP="00000000" w:rsidRDefault="00000000" w:rsidRPr="00000000" w14:paraId="000000D3">
      <w:pPr>
        <w:rPr>
          <w:rFonts w:ascii="Century Gothic" w:cs="Century Gothic" w:eastAsia="Century Gothic" w:hAnsi="Century Gothic"/>
        </w:rPr>
      </w:pPr>
      <w:hyperlink r:id="rId13">
        <w:r w:rsidDel="00000000" w:rsidR="00000000" w:rsidRPr="00000000">
          <w:rPr>
            <w:rFonts w:ascii="Century Gothic" w:cs="Century Gothic" w:eastAsia="Century Gothic" w:hAnsi="Century Gothic"/>
            <w:color w:val="0563c1"/>
            <w:u w:val="single"/>
            <w:rtl w:val="0"/>
          </w:rPr>
          <w:t xml:space="preserve">http://www.nccata.org/index.htm</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D4">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Drama Therapists: </w:t>
      </w:r>
    </w:p>
    <w:p w:rsidR="00000000" w:rsidDel="00000000" w:rsidP="00000000" w:rsidRDefault="00000000" w:rsidRPr="00000000" w14:paraId="000000D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American Society for Group Psychotherapy and Psychodrama</w:t>
      </w:r>
    </w:p>
    <w:p w:rsidR="00000000" w:rsidDel="00000000" w:rsidP="00000000" w:rsidRDefault="00000000" w:rsidRPr="00000000" w14:paraId="000000D6">
      <w:pPr>
        <w:rPr>
          <w:rFonts w:ascii="Century Gothic" w:cs="Century Gothic" w:eastAsia="Century Gothic" w:hAnsi="Century Gothic"/>
        </w:rPr>
      </w:pPr>
      <w:hyperlink r:id="rId14">
        <w:r w:rsidDel="00000000" w:rsidR="00000000" w:rsidRPr="00000000">
          <w:rPr>
            <w:rFonts w:ascii="Century Gothic" w:cs="Century Gothic" w:eastAsia="Century Gothic" w:hAnsi="Century Gothic"/>
            <w:color w:val="0563c1"/>
            <w:u w:val="single"/>
            <w:rtl w:val="0"/>
          </w:rPr>
          <w:t xml:space="preserve">http://www.asgpp.org</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D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Healthy Selfitude-20+ exercises that teach self-acceptance through arts and yoga</w:t>
      </w:r>
    </w:p>
    <w:p w:rsidR="00000000" w:rsidDel="00000000" w:rsidP="00000000" w:rsidRDefault="00000000" w:rsidRPr="00000000" w14:paraId="000000D8">
      <w:pPr>
        <w:rPr>
          <w:rFonts w:ascii="Century Gothic" w:cs="Century Gothic" w:eastAsia="Century Gothic" w:hAnsi="Century Gothic"/>
        </w:rPr>
      </w:pPr>
      <w:hyperlink r:id="rId15">
        <w:r w:rsidDel="00000000" w:rsidR="00000000" w:rsidRPr="00000000">
          <w:rPr>
            <w:rFonts w:ascii="Century Gothic" w:cs="Century Gothic" w:eastAsia="Century Gothic" w:hAnsi="Century Gothic"/>
            <w:color w:val="0563c1"/>
            <w:u w:val="single"/>
            <w:rtl w:val="0"/>
          </w:rPr>
          <w:t xml:space="preserve">https://www.amazon.com/Healthy-Selfitude-self-acceptance-performing-techniques-ebook/dp/B007SANM6E/ref=asap_bc?ie=UTF8/Writings.html</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D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National Association for Drama Therapy</w:t>
      </w:r>
    </w:p>
    <w:p w:rsidR="00000000" w:rsidDel="00000000" w:rsidP="00000000" w:rsidRDefault="00000000" w:rsidRPr="00000000" w14:paraId="000000DA">
      <w:pPr>
        <w:rPr>
          <w:rFonts w:ascii="Century Gothic" w:cs="Century Gothic" w:eastAsia="Century Gothic" w:hAnsi="Century Gothic"/>
        </w:rPr>
      </w:pPr>
      <w:hyperlink r:id="rId16">
        <w:r w:rsidDel="00000000" w:rsidR="00000000" w:rsidRPr="00000000">
          <w:rPr>
            <w:rFonts w:ascii="Century Gothic" w:cs="Century Gothic" w:eastAsia="Century Gothic" w:hAnsi="Century Gothic"/>
            <w:color w:val="0563c1"/>
            <w:u w:val="single"/>
            <w:rtl w:val="0"/>
          </w:rPr>
          <w:t xml:space="preserve">http://www.nadta.org</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D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Tian Dayton, Ph.D., Books and Resources</w:t>
      </w:r>
    </w:p>
    <w:p w:rsidR="00000000" w:rsidDel="00000000" w:rsidP="00000000" w:rsidRDefault="00000000" w:rsidRPr="00000000" w14:paraId="000000DC">
      <w:pPr>
        <w:rPr>
          <w:rFonts w:ascii="Century Gothic" w:cs="Century Gothic" w:eastAsia="Century Gothic" w:hAnsi="Century Gothic"/>
        </w:rPr>
      </w:pPr>
      <w:hyperlink r:id="rId17">
        <w:r w:rsidDel="00000000" w:rsidR="00000000" w:rsidRPr="00000000">
          <w:rPr>
            <w:rFonts w:ascii="Century Gothic" w:cs="Century Gothic" w:eastAsia="Century Gothic" w:hAnsi="Century Gothic"/>
            <w:color w:val="0563c1"/>
            <w:u w:val="single"/>
            <w:rtl w:val="0"/>
          </w:rPr>
          <w:t xml:space="preserve">http://www.tiandayton.com/books-for-professionals</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DD">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Dance Movement Therapist</w:t>
      </w:r>
    </w:p>
    <w:p w:rsidR="00000000" w:rsidDel="00000000" w:rsidP="00000000" w:rsidRDefault="00000000" w:rsidRPr="00000000" w14:paraId="000000D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American Dance Therapy Association</w:t>
      </w:r>
    </w:p>
    <w:p w:rsidR="00000000" w:rsidDel="00000000" w:rsidP="00000000" w:rsidRDefault="00000000" w:rsidRPr="00000000" w14:paraId="000000DF">
      <w:pPr>
        <w:rPr>
          <w:rFonts w:ascii="Century Gothic" w:cs="Century Gothic" w:eastAsia="Century Gothic" w:hAnsi="Century Gothic"/>
        </w:rPr>
      </w:pPr>
      <w:hyperlink r:id="rId18">
        <w:r w:rsidDel="00000000" w:rsidR="00000000" w:rsidRPr="00000000">
          <w:rPr>
            <w:rFonts w:ascii="Century Gothic" w:cs="Century Gothic" w:eastAsia="Century Gothic" w:hAnsi="Century Gothic"/>
            <w:color w:val="0563c1"/>
            <w:u w:val="single"/>
            <w:rtl w:val="0"/>
          </w:rPr>
          <w:t xml:space="preserve">https://adta.org/?s=find+a+therapist</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E0">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Yoga therapist</w:t>
      </w:r>
    </w:p>
    <w:p w:rsidR="00000000" w:rsidDel="00000000" w:rsidP="00000000" w:rsidRDefault="00000000" w:rsidRPr="00000000" w14:paraId="000000E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International Association of Yoga Therapists </w:t>
      </w:r>
    </w:p>
    <w:p w:rsidR="00000000" w:rsidDel="00000000" w:rsidP="00000000" w:rsidRDefault="00000000" w:rsidRPr="00000000" w14:paraId="000000E2">
      <w:pPr>
        <w:rPr>
          <w:rFonts w:ascii="Century Gothic" w:cs="Century Gothic" w:eastAsia="Century Gothic" w:hAnsi="Century Gothic"/>
        </w:rPr>
      </w:pPr>
      <w:hyperlink r:id="rId19">
        <w:r w:rsidDel="00000000" w:rsidR="00000000" w:rsidRPr="00000000">
          <w:rPr>
            <w:rFonts w:ascii="Century Gothic" w:cs="Century Gothic" w:eastAsia="Century Gothic" w:hAnsi="Century Gothic"/>
            <w:color w:val="0563c1"/>
            <w:u w:val="single"/>
            <w:rtl w:val="0"/>
          </w:rPr>
          <w:t xml:space="preserve">http://www.iayt.org</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E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Meditation and Mindfulness Workshops for ED Recovery --- Guidebook for Yoga Instructors </w:t>
      </w:r>
    </w:p>
    <w:p w:rsidR="00000000" w:rsidDel="00000000" w:rsidP="00000000" w:rsidRDefault="00000000" w:rsidRPr="00000000" w14:paraId="000000E4">
      <w:pPr>
        <w:rPr>
          <w:rFonts w:ascii="Century Gothic" w:cs="Century Gothic" w:eastAsia="Century Gothic" w:hAnsi="Century Gothic"/>
        </w:rPr>
      </w:pPr>
      <w:hyperlink r:id="rId20">
        <w:r w:rsidDel="00000000" w:rsidR="00000000" w:rsidRPr="00000000">
          <w:rPr>
            <w:rFonts w:ascii="Century Gothic" w:cs="Century Gothic" w:eastAsia="Century Gothic" w:hAnsi="Century Gothic"/>
            <w:color w:val="0563c1"/>
            <w:u w:val="single"/>
            <w:rtl w:val="0"/>
          </w:rPr>
          <w:t xml:space="preserve">https://www.amazon.com/Mindfulness-Meditation-Workshops-instructors-psychotherapists/dp/0985252812/ref=sr_1_8?ie=UTF8&amp;qid=1344624945&amp;sr=8-8&amp;keywords=hussa</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E5">
      <w:pPr>
        <w:ind w:left="360" w:firstLine="0"/>
        <w:rPr>
          <w:rFonts w:ascii="Milonga" w:cs="Milonga" w:eastAsia="Milonga" w:hAnsi="Milonga"/>
          <w:sz w:val="24"/>
          <w:szCs w:val="24"/>
        </w:rPr>
      </w:pPr>
      <w:r w:rsidDel="00000000" w:rsidR="00000000" w:rsidRPr="00000000">
        <w:br w:type="page"/>
      </w:r>
      <w:r w:rsidDel="00000000" w:rsidR="00000000" w:rsidRPr="00000000">
        <w:rPr>
          <w:rFonts w:ascii="Milonga" w:cs="Milonga" w:eastAsia="Milonga" w:hAnsi="Milonga"/>
          <w:b w:val="1"/>
          <w:sz w:val="28"/>
          <w:szCs w:val="28"/>
          <w:rtl w:val="0"/>
        </w:rPr>
        <w:t xml:space="preserve">How To Help a Student Who May Be Struggling</w:t>
      </w: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1440" w:right="0" w:hanging="720"/>
        <w:jc w:val="left"/>
        <w:rPr>
          <w:rFonts w:ascii="Century Gothic" w:cs="Century Gothic" w:eastAsia="Century Gothic" w:hAnsi="Century Gothic"/>
          <w:b w:val="1"/>
          <w:i w:val="0"/>
          <w:smallCaps w:val="0"/>
          <w:strike w:val="0"/>
          <w:color w:val="000000"/>
          <w:sz w:val="16"/>
          <w:szCs w:val="16"/>
          <w:u w:val="singl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(Developed by Laura Lees, PsyD, CEDS with Carolyn Costin, Robyn Hussa, Karen Sossin &amp; Dawn Smith-Theodore)</w:t>
      </w:r>
      <w:r w:rsidDel="00000000" w:rsidR="00000000" w:rsidRPr="00000000">
        <w:rPr>
          <w:rtl w:val="0"/>
        </w:rPr>
      </w:r>
    </w:p>
    <w:p w:rsidR="00000000" w:rsidDel="00000000" w:rsidP="00000000" w:rsidRDefault="00000000" w:rsidRPr="00000000" w14:paraId="000000E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Find a time to talk when both of you are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calm</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 not at or during meals or during exercise.  Please make sure you will be away from other distractions.</w:t>
      </w:r>
    </w:p>
    <w:p w:rsidR="00000000" w:rsidDel="00000000" w:rsidP="00000000" w:rsidRDefault="00000000" w:rsidRPr="00000000" w14:paraId="000000E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individual who has the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best rapport</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(friend, coach, parent, etc.) should set a time to talk.  Set aside a time for a private, respectful meeting with the person to discuss your concerns openly and honestly in a caring, supportive way. </w:t>
      </w:r>
    </w:p>
    <w:p w:rsidR="00000000" w:rsidDel="00000000" w:rsidP="00000000" w:rsidRDefault="00000000" w:rsidRPr="00000000" w14:paraId="000000E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Remember that the person isn’t engaging in an eating disorder (or other behavior) on purpose.</w:t>
      </w:r>
    </w:p>
    <w:p w:rsidR="00000000" w:rsidDel="00000000" w:rsidP="00000000" w:rsidRDefault="00000000" w:rsidRPr="00000000" w14:paraId="000000E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Share with the person what behaviors you have actually </w:t>
      </w:r>
      <w:r w:rsidDel="00000000" w:rsidR="00000000" w:rsidRPr="00000000">
        <w:rPr>
          <w:rFonts w:ascii="Century Gothic" w:cs="Century Gothic" w:eastAsia="Century Gothic" w:hAnsi="Century Gothic"/>
          <w:b w:val="1"/>
          <w:i w:val="1"/>
          <w:smallCaps w:val="0"/>
          <w:strike w:val="0"/>
          <w:color w:val="000000"/>
          <w:sz w:val="22"/>
          <w:szCs w:val="22"/>
          <w:u w:val="none"/>
          <w:shd w:fill="auto" w:val="clear"/>
          <w:vertAlign w:val="baseline"/>
          <w:rtl w:val="0"/>
        </w:rPr>
        <w:t xml:space="preserve">seen</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them doing, such as: “I have seen you withdrawing and isolating from friends, do you want to talk?”  “I have seen you avoiding food and I’m concerned.” “I have seen you working out a lot lately.  It’s like you can’t stop.  I’m concerned about you.”</w:t>
      </w:r>
    </w:p>
    <w:p w:rsidR="00000000" w:rsidDel="00000000" w:rsidP="00000000" w:rsidRDefault="00000000" w:rsidRPr="00000000" w14:paraId="000000E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Let the person know that you care, are there to listen, if they want to talk and that you will </w:t>
      </w:r>
      <w:r w:rsidDel="00000000" w:rsidR="00000000" w:rsidRPr="00000000">
        <w:rPr>
          <w:rFonts w:ascii="Century Gothic" w:cs="Century Gothic" w:eastAsia="Century Gothic" w:hAnsi="Century Gothic"/>
          <w:b w:val="1"/>
          <w:i w:val="1"/>
          <w:smallCaps w:val="0"/>
          <w:strike w:val="0"/>
          <w:color w:val="000000"/>
          <w:sz w:val="22"/>
          <w:szCs w:val="22"/>
          <w:u w:val="none"/>
          <w:shd w:fill="auto" w:val="clear"/>
          <w:vertAlign w:val="baseline"/>
          <w:rtl w:val="0"/>
        </w:rPr>
        <w:t xml:space="preserve">go with them </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to talk to someone who can help.</w:t>
      </w:r>
    </w:p>
    <w:p w:rsidR="00000000" w:rsidDel="00000000" w:rsidP="00000000" w:rsidRDefault="00000000" w:rsidRPr="00000000" w14:paraId="000000E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Express your continued support</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Remind them that you care and that you want them to be happy.</w:t>
      </w:r>
    </w:p>
    <w:p w:rsidR="00000000" w:rsidDel="00000000" w:rsidP="00000000" w:rsidRDefault="00000000" w:rsidRPr="00000000" w14:paraId="000000E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Focus on health, not weight,</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food, or moral issues during the conversation.</w:t>
      </w:r>
    </w:p>
    <w:p w:rsidR="00000000" w:rsidDel="00000000" w:rsidP="00000000" w:rsidRDefault="00000000" w:rsidRPr="00000000" w14:paraId="000000E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Acknowledge that seeking outside help is beneficial and is never a sign of weakness.</w:t>
      </w:r>
    </w:p>
    <w:p w:rsidR="00000000" w:rsidDel="00000000" w:rsidP="00000000" w:rsidRDefault="00000000" w:rsidRPr="00000000" w14:paraId="000000E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For specific information about helping an athlete, please visit www.ThinkEatPlay.org</w:t>
      </w:r>
    </w:p>
    <w:p w:rsidR="00000000" w:rsidDel="00000000" w:rsidP="00000000" w:rsidRDefault="00000000" w:rsidRPr="00000000" w14:paraId="000000F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Choose “I” statements</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over “You” statements to avoid placing the athlete on the defensive, For example, “I’ve noticed that you’ve been fatigued lately”, and “I’m concerned about you.” Is preferable to “You need to eat and everything will be fine.”</w:t>
      </w:r>
    </w:p>
    <w:p w:rsidR="00000000" w:rsidDel="00000000" w:rsidP="00000000" w:rsidRDefault="00000000" w:rsidRPr="00000000" w14:paraId="000000F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 have seen you withdrawing and isolating from friends, do you want to talk?”</w:t>
      </w:r>
    </w:p>
    <w:p w:rsidR="00000000" w:rsidDel="00000000" w:rsidP="00000000" w:rsidRDefault="00000000" w:rsidRPr="00000000" w14:paraId="000000F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 have seen you avoiding food / skipping meals and I’m concerned.”</w:t>
      </w:r>
    </w:p>
    <w:p w:rsidR="00000000" w:rsidDel="00000000" w:rsidP="00000000" w:rsidRDefault="00000000" w:rsidRPr="00000000" w14:paraId="000000F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 have seen you working out a lot lately.  It’s like you can’t stop.  I’m concerned about you.”</w:t>
      </w:r>
    </w:p>
    <w:p w:rsidR="00000000" w:rsidDel="00000000" w:rsidP="00000000" w:rsidRDefault="00000000" w:rsidRPr="00000000" w14:paraId="000000F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light in your eyes doesn’t seem to be there as much anymore and I am really concerned.  Are you okay?  Do you want to talk?”</w:t>
      </w:r>
    </w:p>
    <w:p w:rsidR="00000000" w:rsidDel="00000000" w:rsidP="00000000" w:rsidRDefault="00000000" w:rsidRPr="00000000" w14:paraId="000000F5">
      <w:pPr>
        <w:rPr>
          <w:rFonts w:ascii="Milonga" w:cs="Milonga" w:eastAsia="Milonga" w:hAnsi="Milong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6">
      <w:pPr>
        <w:pBdr>
          <w:bottom w:color="000000" w:space="1" w:sz="4" w:val="single"/>
        </w:pBdr>
        <w:spacing w:after="240" w:lineRule="auto"/>
        <w:jc w:val="both"/>
        <w:rPr>
          <w:rFonts w:ascii="Milonga" w:cs="Milonga" w:eastAsia="Milonga" w:hAnsi="Milonga"/>
          <w:b w:val="1"/>
          <w:sz w:val="28"/>
          <w:szCs w:val="28"/>
        </w:rPr>
      </w:pPr>
      <w:r w:rsidDel="00000000" w:rsidR="00000000" w:rsidRPr="00000000">
        <w:rPr>
          <w:rFonts w:ascii="Milonga" w:cs="Milonga" w:eastAsia="Milonga" w:hAnsi="Milonga"/>
          <w:b w:val="1"/>
          <w:sz w:val="28"/>
          <w:szCs w:val="28"/>
          <w:rtl w:val="0"/>
        </w:rPr>
        <w:t xml:space="preserve">GUIDE TO FINDING AN EATING DISORDERS SPECIALIST</w:t>
      </w:r>
    </w:p>
    <w:p w:rsidR="00000000" w:rsidDel="00000000" w:rsidP="00000000" w:rsidRDefault="00000000" w:rsidRPr="00000000" w14:paraId="000000F7">
      <w:pPr>
        <w:spacing w:after="240" w:lineRule="auto"/>
        <w:jc w:val="both"/>
        <w:rPr>
          <w:rFonts w:ascii="Milonga" w:cs="Milonga" w:eastAsia="Milonga" w:hAnsi="Milonga"/>
          <w:i w:val="1"/>
          <w:sz w:val="20"/>
          <w:szCs w:val="20"/>
        </w:rPr>
      </w:pPr>
      <w:r w:rsidDel="00000000" w:rsidR="00000000" w:rsidRPr="00000000">
        <w:rPr>
          <w:rFonts w:ascii="Milonga" w:cs="Milonga" w:eastAsia="Milonga" w:hAnsi="Milonga"/>
          <w:i w:val="1"/>
          <w:sz w:val="20"/>
          <w:szCs w:val="20"/>
          <w:rtl w:val="0"/>
        </w:rPr>
        <w:t xml:space="preserve">(Source: Laura Lees, Psy.D., CEDS)</w:t>
      </w:r>
    </w:p>
    <w:p w:rsidR="00000000" w:rsidDel="00000000" w:rsidP="00000000" w:rsidRDefault="00000000" w:rsidRPr="00000000" w14:paraId="000000F8">
      <w:pPr>
        <w:spacing w:after="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Anorexia, Bulimia, Binge Eating Disorder and EDNOS / OSFED often require treatment by a team of providers, including a licensed psychotherapist, nutritionist, physician and psychiatrist.</w:t>
      </w:r>
    </w:p>
    <w:p w:rsidR="00000000" w:rsidDel="00000000" w:rsidP="00000000" w:rsidRDefault="00000000" w:rsidRPr="00000000" w14:paraId="000000F9">
      <w:pPr>
        <w:spacing w:after="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These are questions you can ask a therapist to determine if each are an eating disorder specialist:</w:t>
      </w:r>
    </w:p>
    <w:p w:rsidR="00000000" w:rsidDel="00000000" w:rsidP="00000000" w:rsidRDefault="00000000" w:rsidRPr="00000000" w14:paraId="000000F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Have you had specialized training specifically in eating disorders?  What kind of training? How Long?</w:t>
      </w:r>
    </w:p>
    <w:p w:rsidR="00000000" w:rsidDel="00000000" w:rsidP="00000000" w:rsidRDefault="00000000" w:rsidRPr="00000000" w14:paraId="000000F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Have you ever trained or worked in a hospital eating disorders program?  Where?  How Long?</w:t>
      </w:r>
    </w:p>
    <w:p w:rsidR="00000000" w:rsidDel="00000000" w:rsidP="00000000" w:rsidRDefault="00000000" w:rsidRPr="00000000" w14:paraId="000000F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Do you have any credentials showing you are an eating disorder specialist?  What are they?  Through what certifying organization? (note: CEDS and FAED are highest regarded credentials)</w:t>
      </w:r>
    </w:p>
    <w:p w:rsidR="00000000" w:rsidDel="00000000" w:rsidP="00000000" w:rsidRDefault="00000000" w:rsidRPr="00000000" w14:paraId="000000F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Do you currently have a supervisor who is an eating disorders specialist?  Who is it?</w:t>
      </w:r>
    </w:p>
    <w:p w:rsidR="00000000" w:rsidDel="00000000" w:rsidP="00000000" w:rsidRDefault="00000000" w:rsidRPr="00000000" w14:paraId="000000F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What professional eating disorder associations are you a member of?  NOTE:  The major associations are:  Academy for Eating Disorders (AED), International Association of Eating Disorder Professionals (IAEDP) and National Eating Disorder Association (NEDA)</w:t>
      </w:r>
    </w:p>
    <w:p w:rsidR="00000000" w:rsidDel="00000000" w:rsidP="00000000" w:rsidRDefault="00000000" w:rsidRPr="00000000" w14:paraId="000000F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What eating disorder journals do you read?  NOTE:  The major journals and newsletters are: International Journal of Eating Disorders, Journal of the Treatment and Prevention of Eating Disorders, Renfrew Perspectives, IAEDP Connections, Eating Disorders Review</w:t>
      </w:r>
    </w:p>
    <w:p w:rsidR="00000000" w:rsidDel="00000000" w:rsidP="00000000" w:rsidRDefault="00000000" w:rsidRPr="00000000" w14:paraId="000001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What continuing education have you received or taught on eating disorders in the past two years?  NOTE:  Therapists should attend seminars or conventions or engage in self-study for continuing education credits to continue their professional development on a regular basis.</w:t>
      </w:r>
    </w:p>
    <w:p w:rsidR="00000000" w:rsidDel="00000000" w:rsidP="00000000" w:rsidRDefault="00000000" w:rsidRPr="00000000" w14:paraId="00000101">
      <w:pPr>
        <w:spacing w:after="240" w:lineRule="auto"/>
        <w:jc w:val="both"/>
        <w:rPr>
          <w:rFonts w:ascii="Century Gothic" w:cs="Century Gothic" w:eastAsia="Century Gothic" w:hAnsi="Century Gothic"/>
        </w:rPr>
      </w:pPr>
      <w:bookmarkStart w:colFirst="0" w:colLast="0" w:name="_gjdgxs" w:id="0"/>
      <w:bookmarkEnd w:id="0"/>
      <w:r w:rsidDel="00000000" w:rsidR="00000000" w:rsidRPr="00000000">
        <w:rPr>
          <w:rFonts w:ascii="Century Gothic" w:cs="Century Gothic" w:eastAsia="Century Gothic" w:hAnsi="Century Gothic"/>
          <w:rtl w:val="0"/>
        </w:rPr>
        <w:t xml:space="preserve">If a provider has no formal eating disorders training, hospital experience or supervisor, it would be advisable to find a specialist with appropriate qualifications to help you.  If you have questions, please contact us.</w:t>
      </w:r>
    </w:p>
    <w:sectPr>
      <w:headerReference r:id="rId21" w:type="default"/>
      <w:footerReference r:id="rId22" w:type="defaul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Milonga">
    <w:embedRegular w:fontKey="{00000000-0000-0000-0000-000000000000}" r:id="rId5" w:subsetted="0"/>
  </w:font>
  <w:font w:name="Century Gothic">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©2016 Jennifer Friedman.  All rights reserved.</w:t>
    </w: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7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amazon.com/Mindfulness-Meditation-Workshops-instructors-psychotherapists/dp/0985252812/ref=sr_1_8?ie=UTF8&amp;qid=1344624945&amp;sr=8-8&amp;keywords=hussa" TargetMode="External"/><Relationship Id="rId11" Type="http://schemas.openxmlformats.org/officeDocument/2006/relationships/hyperlink" Target="http://www.normal-life.org/wp-content/uploads/2012/07/eatingdisorderstoolkit.pdf" TargetMode="External"/><Relationship Id="rId22" Type="http://schemas.openxmlformats.org/officeDocument/2006/relationships/footer" Target="footer1.xml"/><Relationship Id="rId10" Type="http://schemas.openxmlformats.org/officeDocument/2006/relationships/hyperlink" Target="http://dx.doi.org/10.1016/j.jad.2016.05.022" TargetMode="External"/><Relationship Id="rId21" Type="http://schemas.openxmlformats.org/officeDocument/2006/relationships/header" Target="header1.xml"/><Relationship Id="rId13" Type="http://schemas.openxmlformats.org/officeDocument/2006/relationships/hyperlink" Target="http://www.nccata.org/index.htm" TargetMode="External"/><Relationship Id="rId12" Type="http://schemas.openxmlformats.org/officeDocument/2006/relationships/hyperlink" Target="http://www.ieata.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ersonalbiasrecords.com/" TargetMode="External"/><Relationship Id="rId15" Type="http://schemas.openxmlformats.org/officeDocument/2006/relationships/hyperlink" Target="https://www.amazon.com/Healthy-Selfitude-self-acceptance-performing-techniques-ebook/dp/B007SANM6E/ref=asap_bc?ie=UTF8/Writings.html" TargetMode="External"/><Relationship Id="rId14" Type="http://schemas.openxmlformats.org/officeDocument/2006/relationships/hyperlink" Target="http://www.asgpp.org" TargetMode="External"/><Relationship Id="rId17" Type="http://schemas.openxmlformats.org/officeDocument/2006/relationships/hyperlink" Target="http://www.tiandayton.com/books-for-professionals" TargetMode="External"/><Relationship Id="rId16" Type="http://schemas.openxmlformats.org/officeDocument/2006/relationships/hyperlink" Target="http://www.nadta.org" TargetMode="External"/><Relationship Id="rId5" Type="http://schemas.openxmlformats.org/officeDocument/2006/relationships/styles" Target="styles.xml"/><Relationship Id="rId19" Type="http://schemas.openxmlformats.org/officeDocument/2006/relationships/hyperlink" Target="http://www.iayt.org" TargetMode="External"/><Relationship Id="rId6" Type="http://schemas.openxmlformats.org/officeDocument/2006/relationships/image" Target="media/image1.png"/><Relationship Id="rId18" Type="http://schemas.openxmlformats.org/officeDocument/2006/relationships/hyperlink" Target="https://adta.org/?s=find+a+therapist" TargetMode="External"/><Relationship Id="rId7" Type="http://schemas.openxmlformats.org/officeDocument/2006/relationships/image" Target="media/image2.png"/><Relationship Id="rId8" Type="http://schemas.openxmlformats.org/officeDocument/2006/relationships/hyperlink" Target="http://www.westwire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CenturyGothic-boldItalic.ttf"/><Relationship Id="rId5" Type="http://schemas.openxmlformats.org/officeDocument/2006/relationships/font" Target="fonts/Milonga-regular.ttf"/><Relationship Id="rId6" Type="http://schemas.openxmlformats.org/officeDocument/2006/relationships/font" Target="fonts/CenturyGothic-regular.ttf"/><Relationship Id="rId7" Type="http://schemas.openxmlformats.org/officeDocument/2006/relationships/font" Target="fonts/CenturyGothic-bold.ttf"/><Relationship Id="rId8" Type="http://schemas.openxmlformats.org/officeDocument/2006/relationships/font" Target="fonts/CenturyGothic-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